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2949C4" w14:textId="02BFFEFA" w:rsidR="00116B51" w:rsidRPr="00DA12F7" w:rsidRDefault="00116B51" w:rsidP="00116B51">
      <w:pPr>
        <w:tabs>
          <w:tab w:val="right" w:pos="9630"/>
        </w:tabs>
        <w:spacing w:after="0"/>
      </w:pPr>
      <w:r w:rsidRPr="00DA12F7">
        <w:rPr>
          <w:rFonts w:ascii="Arial" w:hAnsi="Arial" w:cs="Arial"/>
          <w:b/>
          <w:sz w:val="24"/>
        </w:rPr>
        <w:t>3GPP TSG RAN WG1 #</w:t>
      </w:r>
      <w:r w:rsidR="004A7390">
        <w:rPr>
          <w:rFonts w:ascii="Arial" w:hAnsi="Arial" w:cs="Arial"/>
          <w:b/>
          <w:sz w:val="24"/>
        </w:rPr>
        <w:t>88</w:t>
      </w:r>
      <w:r w:rsidR="002C57BB">
        <w:rPr>
          <w:rFonts w:ascii="Arial" w:hAnsi="Arial" w:cs="Arial"/>
          <w:b/>
          <w:sz w:val="24"/>
        </w:rPr>
        <w:t>bis</w:t>
      </w:r>
      <w:r w:rsidRPr="00DA12F7">
        <w:rPr>
          <w:rFonts w:ascii="Arial" w:hAnsi="Arial" w:cs="Arial"/>
          <w:b/>
          <w:sz w:val="24"/>
        </w:rPr>
        <w:tab/>
      </w:r>
      <w:r w:rsidR="00DF28A0" w:rsidRPr="00DF28A0">
        <w:rPr>
          <w:rFonts w:ascii="Arial" w:hAnsi="Arial" w:cs="Arial"/>
          <w:b/>
          <w:sz w:val="24"/>
        </w:rPr>
        <w:t>R1-1705618</w:t>
      </w:r>
    </w:p>
    <w:p w14:paraId="50FFBAF8" w14:textId="59041039" w:rsidR="00116B51" w:rsidRPr="00DA12F7" w:rsidRDefault="002C57BB" w:rsidP="00116B51">
      <w:pPr>
        <w:tabs>
          <w:tab w:val="right" w:pos="9630"/>
        </w:tabs>
        <w:spacing w:after="0"/>
        <w:rPr>
          <w:rFonts w:ascii="Arial" w:hAnsi="Arial" w:cs="Arial"/>
          <w:b/>
          <w:sz w:val="24"/>
          <w:szCs w:val="24"/>
        </w:rPr>
      </w:pPr>
      <w:r>
        <w:rPr>
          <w:rFonts w:ascii="Arial" w:hAnsi="Arial" w:cs="Arial"/>
          <w:b/>
          <w:sz w:val="24"/>
          <w:szCs w:val="24"/>
        </w:rPr>
        <w:t>April</w:t>
      </w:r>
      <w:r w:rsidR="00116B51">
        <w:rPr>
          <w:rFonts w:ascii="Arial" w:hAnsi="Arial" w:cs="Arial"/>
          <w:b/>
          <w:sz w:val="24"/>
          <w:szCs w:val="24"/>
        </w:rPr>
        <w:t xml:space="preserve"> </w:t>
      </w:r>
      <w:r w:rsidR="004A7390">
        <w:rPr>
          <w:rFonts w:ascii="Arial" w:hAnsi="Arial" w:cs="Arial"/>
          <w:b/>
          <w:sz w:val="24"/>
          <w:szCs w:val="24"/>
        </w:rPr>
        <w:t>3</w:t>
      </w:r>
      <w:r>
        <w:rPr>
          <w:rFonts w:ascii="Arial" w:hAnsi="Arial" w:cs="Arial"/>
          <w:b/>
          <w:sz w:val="24"/>
          <w:szCs w:val="24"/>
          <w:vertAlign w:val="superscript"/>
        </w:rPr>
        <w:t>rd</w:t>
      </w:r>
      <w:r>
        <w:rPr>
          <w:rFonts w:ascii="Arial" w:hAnsi="Arial" w:cs="Arial"/>
          <w:b/>
          <w:sz w:val="24"/>
          <w:szCs w:val="24"/>
        </w:rPr>
        <w:t xml:space="preserve"> – </w:t>
      </w:r>
      <w:r w:rsidR="004A7390">
        <w:rPr>
          <w:rFonts w:ascii="Arial" w:hAnsi="Arial" w:cs="Arial"/>
          <w:b/>
          <w:sz w:val="24"/>
          <w:szCs w:val="24"/>
        </w:rPr>
        <w:t>7</w:t>
      </w:r>
      <w:r w:rsidR="00116B51" w:rsidRPr="00DA12F7">
        <w:rPr>
          <w:rFonts w:ascii="Arial" w:hAnsi="Arial" w:cs="Arial"/>
          <w:b/>
          <w:sz w:val="24"/>
          <w:szCs w:val="24"/>
          <w:vertAlign w:val="superscript"/>
        </w:rPr>
        <w:t>th</w:t>
      </w:r>
      <w:r w:rsidR="00116B51" w:rsidRPr="00DA12F7">
        <w:rPr>
          <w:rFonts w:ascii="Arial" w:hAnsi="Arial" w:cs="Arial"/>
          <w:b/>
          <w:sz w:val="24"/>
          <w:szCs w:val="24"/>
        </w:rPr>
        <w:t>, 201</w:t>
      </w:r>
      <w:r w:rsidR="004A7390">
        <w:rPr>
          <w:rFonts w:ascii="Arial" w:hAnsi="Arial" w:cs="Arial"/>
          <w:b/>
          <w:sz w:val="24"/>
          <w:szCs w:val="24"/>
        </w:rPr>
        <w:t>7</w:t>
      </w:r>
    </w:p>
    <w:p w14:paraId="7DB4A2F8" w14:textId="765D7C0B" w:rsidR="00116B51" w:rsidRPr="00DA12F7" w:rsidRDefault="002C57BB" w:rsidP="00116B51">
      <w:pPr>
        <w:rPr>
          <w:rFonts w:ascii="Arial" w:hAnsi="Arial" w:cs="Arial"/>
          <w:b/>
          <w:sz w:val="24"/>
          <w:szCs w:val="24"/>
        </w:rPr>
      </w:pPr>
      <w:r>
        <w:rPr>
          <w:rFonts w:ascii="Arial" w:hAnsi="Arial" w:cs="Arial"/>
          <w:b/>
          <w:sz w:val="24"/>
          <w:szCs w:val="24"/>
        </w:rPr>
        <w:t>Spokane</w:t>
      </w:r>
      <w:r w:rsidR="00116B51">
        <w:rPr>
          <w:rFonts w:ascii="Arial" w:hAnsi="Arial" w:cs="Arial"/>
          <w:b/>
          <w:sz w:val="24"/>
          <w:szCs w:val="24"/>
        </w:rPr>
        <w:t xml:space="preserve">, </w:t>
      </w:r>
      <w:r>
        <w:rPr>
          <w:rFonts w:ascii="Arial" w:hAnsi="Arial" w:cs="Arial"/>
          <w:b/>
          <w:sz w:val="24"/>
          <w:szCs w:val="24"/>
        </w:rPr>
        <w:t>USA</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76E1F6E8"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0" w:name="Source"/>
      <w:bookmarkEnd w:id="0"/>
      <w:r w:rsidR="006C7D80" w:rsidRPr="00E624D8">
        <w:rPr>
          <w:rFonts w:ascii="Arial" w:hAnsi="Arial"/>
          <w:sz w:val="24"/>
        </w:rPr>
        <w:tab/>
      </w:r>
      <w:r w:rsidR="006C2EC2">
        <w:rPr>
          <w:rFonts w:ascii="Arial" w:hAnsi="Arial"/>
          <w:sz w:val="24"/>
        </w:rPr>
        <w:t>8.1.3.3</w:t>
      </w:r>
      <w:r w:rsidR="00FF4FC8">
        <w:rPr>
          <w:rFonts w:ascii="Arial" w:hAnsi="Arial"/>
          <w:sz w:val="24"/>
        </w:rPr>
        <w:t>.</w:t>
      </w:r>
      <w:r w:rsidR="00A0434A">
        <w:rPr>
          <w:rFonts w:ascii="Arial" w:hAnsi="Arial"/>
          <w:sz w:val="24"/>
        </w:rPr>
        <w:t>1</w:t>
      </w:r>
      <w:bookmarkStart w:id="1" w:name="_GoBack"/>
      <w:bookmarkEnd w:id="1"/>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22B7BA09"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730918" w:rsidRPr="00730918">
        <w:rPr>
          <w:rFonts w:ascii="Arial" w:hAnsi="Arial"/>
          <w:sz w:val="24"/>
        </w:rPr>
        <w:t>Multi-bit HARQ-ACK feedback HARQ design principle</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DA6B8E">
        <w:rPr>
          <w:rFonts w:ascii="Arial" w:hAnsi="Arial"/>
          <w:sz w:val="24"/>
        </w:rPr>
        <w:t xml:space="preserve"> and Decision</w:t>
      </w:r>
    </w:p>
    <w:p w14:paraId="19D84970" w14:textId="23D45FE8" w:rsidR="00491EEE" w:rsidRDefault="00FD6A3D" w:rsidP="00491EEE">
      <w:pPr>
        <w:pStyle w:val="Heading1"/>
      </w:pPr>
      <w:r w:rsidRPr="00CC27F5">
        <w:t>1</w:t>
      </w:r>
      <w:r w:rsidRPr="00CC27F5">
        <w:tab/>
      </w:r>
      <w:r w:rsidR="00B209B5" w:rsidRPr="00CC27F5">
        <w:t>Introduction</w:t>
      </w:r>
    </w:p>
    <w:p w14:paraId="25701522" w14:textId="7569C784" w:rsidR="00093582" w:rsidRPr="00093582" w:rsidRDefault="00093582" w:rsidP="00093582">
      <w:pPr>
        <w:rPr>
          <w:lang w:val="en-GB"/>
        </w:rPr>
      </w:pPr>
      <w:r>
        <w:rPr>
          <w:lang w:val="en-GB"/>
        </w:rPr>
        <w:t xml:space="preserve">In </w:t>
      </w:r>
      <w:r w:rsidR="004A70E3">
        <w:rPr>
          <w:lang w:val="en-GB"/>
        </w:rPr>
        <w:t>RAN1 #88</w:t>
      </w:r>
      <w:r>
        <w:rPr>
          <w:lang w:val="en-GB"/>
        </w:rPr>
        <w:t xml:space="preserve">, the following </w:t>
      </w:r>
      <w:r w:rsidR="006C2EC2">
        <w:rPr>
          <w:lang w:val="en-GB"/>
        </w:rPr>
        <w:t>working assumption was</w:t>
      </w:r>
      <w:r>
        <w:rPr>
          <w:lang w:val="en-GB"/>
        </w:rPr>
        <w:t xml:space="preserve"> reached:</w:t>
      </w:r>
    </w:p>
    <w:p w14:paraId="52ED1646" w14:textId="77777777" w:rsidR="006C2EC2" w:rsidRPr="007355DA" w:rsidRDefault="006C2EC2" w:rsidP="006C2EC2">
      <w:pPr>
        <w:rPr>
          <w:rFonts w:eastAsia="MS Mincho"/>
          <w:highlight w:val="darkYellow"/>
          <w:lang w:eastAsia="ja-JP"/>
        </w:rPr>
      </w:pPr>
      <w:r w:rsidRPr="007355DA">
        <w:rPr>
          <w:rFonts w:eastAsia="MS Mincho"/>
          <w:highlight w:val="darkYellow"/>
          <w:lang w:eastAsia="ja-JP"/>
        </w:rPr>
        <w:t>Working assumption</w:t>
      </w:r>
      <w:r w:rsidRPr="007355DA">
        <w:rPr>
          <w:rFonts w:eastAsia="MS Mincho" w:hint="eastAsia"/>
          <w:highlight w:val="darkYellow"/>
          <w:lang w:eastAsia="ja-JP"/>
        </w:rPr>
        <w:t>:</w:t>
      </w:r>
    </w:p>
    <w:p w14:paraId="6C7C61DB" w14:textId="77777777" w:rsidR="006C2EC2" w:rsidRPr="007355DA" w:rsidRDefault="006C2EC2" w:rsidP="006C2EC2">
      <w:pPr>
        <w:numPr>
          <w:ilvl w:val="0"/>
          <w:numId w:val="44"/>
        </w:numPr>
        <w:overflowPunct/>
        <w:autoSpaceDE/>
        <w:autoSpaceDN/>
        <w:adjustRightInd/>
        <w:spacing w:after="0"/>
        <w:textAlignment w:val="auto"/>
        <w:rPr>
          <w:rFonts w:eastAsia="MS Mincho"/>
          <w:lang w:eastAsia="ja-JP"/>
        </w:rPr>
      </w:pPr>
      <w:r w:rsidRPr="007355DA">
        <w:rPr>
          <w:rFonts w:eastAsia="MS Mincho"/>
          <w:lang w:eastAsia="ja-JP"/>
        </w:rPr>
        <w:t xml:space="preserve">CBG-based transmission with </w:t>
      </w:r>
      <w:r w:rsidRPr="007355DA">
        <w:rPr>
          <w:rFonts w:eastAsia="MS Mincho" w:hint="eastAsia"/>
          <w:lang w:eastAsia="ja-JP"/>
        </w:rPr>
        <w:t>single/</w:t>
      </w:r>
      <w:r w:rsidRPr="007355DA">
        <w:rPr>
          <w:rFonts w:eastAsia="MS Mincho"/>
          <w:lang w:eastAsia="ja-JP"/>
        </w:rPr>
        <w:t>multi-bit HARQ-ACK feedback is supported in Rel-15, which shall have the following characteristics:</w:t>
      </w:r>
    </w:p>
    <w:p w14:paraId="7AC2F402" w14:textId="77777777" w:rsidR="006C2EC2" w:rsidRPr="007355DA" w:rsidRDefault="006C2EC2" w:rsidP="006C2EC2">
      <w:pPr>
        <w:numPr>
          <w:ilvl w:val="1"/>
          <w:numId w:val="44"/>
        </w:numPr>
        <w:overflowPunct/>
        <w:autoSpaceDE/>
        <w:autoSpaceDN/>
        <w:adjustRightInd/>
        <w:spacing w:after="0"/>
        <w:textAlignment w:val="auto"/>
        <w:rPr>
          <w:rFonts w:eastAsia="MS Mincho"/>
          <w:lang w:eastAsia="ja-JP"/>
        </w:rPr>
      </w:pPr>
      <w:r w:rsidRPr="007355DA">
        <w:rPr>
          <w:rFonts w:eastAsia="MS Mincho" w:hint="eastAsia"/>
          <w:lang w:eastAsia="ja-JP"/>
        </w:rPr>
        <w:t>O</w:t>
      </w:r>
      <w:r w:rsidRPr="007355DA">
        <w:rPr>
          <w:rFonts w:eastAsia="MS Mincho"/>
          <w:lang w:eastAsia="ja-JP"/>
        </w:rPr>
        <w:t>nly allow CBG based (re)-transmission for the same TB of a HARQ process</w:t>
      </w:r>
    </w:p>
    <w:p w14:paraId="2417EED5" w14:textId="77777777" w:rsidR="006C2EC2" w:rsidRPr="007355DA" w:rsidRDefault="006C2EC2" w:rsidP="006C2EC2">
      <w:pPr>
        <w:numPr>
          <w:ilvl w:val="1"/>
          <w:numId w:val="44"/>
        </w:numPr>
        <w:overflowPunct/>
        <w:autoSpaceDE/>
        <w:autoSpaceDN/>
        <w:adjustRightInd/>
        <w:spacing w:after="0"/>
        <w:textAlignment w:val="auto"/>
        <w:rPr>
          <w:rFonts w:eastAsia="MS Mincho"/>
          <w:lang w:eastAsia="ja-JP"/>
        </w:rPr>
      </w:pPr>
      <w:r w:rsidRPr="007355DA">
        <w:rPr>
          <w:rFonts w:eastAsia="MS Mincho" w:hint="eastAsia"/>
          <w:lang w:eastAsia="ja-JP"/>
        </w:rPr>
        <w:t xml:space="preserve">CBG can include all CB of a TB regardless of the size of the TB </w:t>
      </w:r>
      <w:r w:rsidRPr="007355DA">
        <w:rPr>
          <w:rFonts w:eastAsia="MS Mincho"/>
          <w:lang w:eastAsia="ja-JP"/>
        </w:rPr>
        <w:t>–</w:t>
      </w:r>
      <w:r w:rsidRPr="007355DA">
        <w:rPr>
          <w:rFonts w:eastAsia="MS Mincho" w:hint="eastAsia"/>
          <w:lang w:eastAsia="ja-JP"/>
        </w:rPr>
        <w:t xml:space="preserve"> In the such case, UE reports single HARQ ACK bits for the TB</w:t>
      </w:r>
    </w:p>
    <w:p w14:paraId="45322FD4" w14:textId="77777777" w:rsidR="006C2EC2" w:rsidRPr="007355DA" w:rsidRDefault="006C2EC2" w:rsidP="006C2EC2">
      <w:pPr>
        <w:numPr>
          <w:ilvl w:val="1"/>
          <w:numId w:val="44"/>
        </w:numPr>
        <w:overflowPunct/>
        <w:autoSpaceDE/>
        <w:autoSpaceDN/>
        <w:adjustRightInd/>
        <w:spacing w:after="0"/>
        <w:textAlignment w:val="auto"/>
        <w:rPr>
          <w:rFonts w:eastAsia="MS Mincho"/>
          <w:lang w:eastAsia="ja-JP"/>
        </w:rPr>
      </w:pPr>
      <w:r w:rsidRPr="007355DA">
        <w:rPr>
          <w:rFonts w:eastAsia="MS Mincho" w:hint="eastAsia"/>
          <w:lang w:eastAsia="ja-JP"/>
        </w:rPr>
        <w:t>CBG can include one CB</w:t>
      </w:r>
    </w:p>
    <w:p w14:paraId="3161B8AD" w14:textId="77777777" w:rsidR="006C2EC2" w:rsidRPr="007355DA" w:rsidRDefault="006C2EC2" w:rsidP="006C2EC2">
      <w:pPr>
        <w:numPr>
          <w:ilvl w:val="1"/>
          <w:numId w:val="44"/>
        </w:numPr>
        <w:overflowPunct/>
        <w:autoSpaceDE/>
        <w:autoSpaceDN/>
        <w:adjustRightInd/>
        <w:spacing w:after="0"/>
        <w:textAlignment w:val="auto"/>
        <w:rPr>
          <w:rFonts w:eastAsia="MS Mincho"/>
          <w:lang w:eastAsia="ja-JP"/>
        </w:rPr>
      </w:pPr>
      <w:r w:rsidRPr="007355DA">
        <w:rPr>
          <w:rFonts w:eastAsia="MS Mincho" w:hint="eastAsia"/>
          <w:lang w:eastAsia="ja-JP"/>
        </w:rPr>
        <w:t xml:space="preserve">CBG </w:t>
      </w:r>
      <w:r w:rsidRPr="007355DA">
        <w:rPr>
          <w:rFonts w:eastAsia="MS Mincho"/>
          <w:lang w:eastAsia="ja-JP"/>
        </w:rPr>
        <w:t>granularity</w:t>
      </w:r>
      <w:r w:rsidRPr="007355DA">
        <w:rPr>
          <w:rFonts w:eastAsia="MS Mincho" w:hint="eastAsia"/>
          <w:lang w:eastAsia="ja-JP"/>
        </w:rPr>
        <w:t xml:space="preserve"> is configurable</w:t>
      </w:r>
    </w:p>
    <w:p w14:paraId="0CF68477" w14:textId="77777777" w:rsidR="006C2EC2" w:rsidRPr="00081D8A" w:rsidRDefault="006C2EC2" w:rsidP="006C2EC2">
      <w:pPr>
        <w:rPr>
          <w:rFonts w:eastAsia="MS Mincho"/>
          <w:lang w:eastAsia="ja-JP"/>
        </w:rPr>
      </w:pPr>
    </w:p>
    <w:p w14:paraId="7CC77D76" w14:textId="3F3C77E1" w:rsidR="004A70E3" w:rsidRPr="00736619" w:rsidRDefault="00A64FF9" w:rsidP="00093582">
      <w:pPr>
        <w:rPr>
          <w:b/>
          <w:lang w:val="en-GB"/>
        </w:rPr>
      </w:pPr>
      <w:r>
        <w:t>A</w:t>
      </w:r>
      <w:r w:rsidRPr="00A64FF9">
        <w:t>s</w:t>
      </w:r>
      <w:r>
        <w:t xml:space="preserve"> shown in many contributions, CBG-based multi-bit HARQ feedback scheme is crucial to enable efficient URLLC and eMBB dynamic multiplexing based on pre-emption.</w:t>
      </w:r>
      <w:r w:rsidR="00736619">
        <w:rPr>
          <w:b/>
          <w:lang w:val="en-GB"/>
        </w:rPr>
        <w:t xml:space="preserve"> </w:t>
      </w:r>
      <w:r w:rsidR="00093582">
        <w:t xml:space="preserve">In this paper, we </w:t>
      </w:r>
      <w:r w:rsidR="006C2EC2">
        <w:t>c</w:t>
      </w:r>
      <w:r w:rsidR="00C82A30">
        <w:t xml:space="preserve">onsider some details of </w:t>
      </w:r>
      <w:r w:rsidR="00730918">
        <w:t xml:space="preserve">Multi-bit HARQ-Ack feedback HARQ design, in particular, some </w:t>
      </w:r>
      <w:r w:rsidR="00C82A30">
        <w:t xml:space="preserve">CBG based </w:t>
      </w:r>
      <w:r w:rsidR="006C2EC2">
        <w:t>transmission</w:t>
      </w:r>
      <w:r w:rsidR="000A0E34">
        <w:t xml:space="preserve"> design</w:t>
      </w:r>
      <w:r w:rsidR="00730918">
        <w:t xml:space="preserve"> aspects</w:t>
      </w:r>
      <w:r w:rsidR="004A70E3">
        <w:t>.</w:t>
      </w:r>
    </w:p>
    <w:p w14:paraId="488AD007" w14:textId="0DDACFBC" w:rsidR="00491EEE" w:rsidRDefault="002A0B89" w:rsidP="00F30894">
      <w:pPr>
        <w:pStyle w:val="Heading1"/>
        <w:jc w:val="both"/>
      </w:pPr>
      <w:r>
        <w:t xml:space="preserve">2 </w:t>
      </w:r>
      <w:r w:rsidR="004A7390">
        <w:t>Discussion</w:t>
      </w:r>
    </w:p>
    <w:p w14:paraId="7F823C28" w14:textId="672762D0" w:rsidR="002A0B89" w:rsidRDefault="002A0B89" w:rsidP="002A0B89">
      <w:pPr>
        <w:pStyle w:val="Heading2"/>
      </w:pPr>
      <w:r>
        <w:t>2.1 Performance and overhead tradeoff</w:t>
      </w:r>
    </w:p>
    <w:p w14:paraId="5C9FD0EA" w14:textId="77777777" w:rsidR="00736619" w:rsidRDefault="00F01C74" w:rsidP="00736619">
      <w:pPr>
        <w:rPr>
          <w:lang w:val="en-GB"/>
        </w:rPr>
      </w:pPr>
      <w:r w:rsidRPr="00F01C74">
        <w:rPr>
          <w:lang w:val="en-GB"/>
        </w:rPr>
        <w:t xml:space="preserve">When </w:t>
      </w:r>
      <w:r w:rsidR="00CF76CB">
        <w:rPr>
          <w:lang w:val="en-GB"/>
        </w:rPr>
        <w:t>CBG-based transmission is supported, there is a trade</w:t>
      </w:r>
      <w:r w:rsidR="00A03D28">
        <w:rPr>
          <w:lang w:val="en-GB"/>
        </w:rPr>
        <w:t>-</w:t>
      </w:r>
      <w:r w:rsidR="00CF76CB">
        <w:rPr>
          <w:lang w:val="en-GB"/>
        </w:rPr>
        <w:t xml:space="preserve">off between the CBG size and the amount of feedback. With smaller CBG size, more accurate control on the retransmission is possible, which translates to more efficient retransmission. </w:t>
      </w:r>
      <w:r w:rsidR="0025281D">
        <w:rPr>
          <w:lang w:val="en-GB"/>
        </w:rPr>
        <w:t>We illustrate this tradeoff in Figure 1 and 2. In these simulations, t</w:t>
      </w:r>
      <w:r w:rsidR="0025281D" w:rsidRPr="0025281D">
        <w:rPr>
          <w:lang w:val="en-GB"/>
        </w:rPr>
        <w:t xml:space="preserve">he total number of HARQ transmissions is set to 4. As can be seen CB-level HARQ scheme can significantly improve throughput compared with TB-level HARQ thanks to multi-bit feedback. </w:t>
      </w:r>
      <w:r w:rsidR="002148BF" w:rsidRPr="0025281D">
        <w:rPr>
          <w:lang w:val="en-GB"/>
        </w:rPr>
        <w:t>Practically speaking, low puncturing rate region is of more interest as URLLC naturally could not have very high system loading due to its own latency bound. From the zoomed in Figure</w:t>
      </w:r>
      <w:r w:rsidR="002148BF">
        <w:rPr>
          <w:lang w:val="en-GB"/>
        </w:rPr>
        <w:t xml:space="preserve"> 2</w:t>
      </w:r>
      <w:r w:rsidR="002148BF" w:rsidRPr="0025281D">
        <w:rPr>
          <w:lang w:val="en-GB"/>
        </w:rPr>
        <w:t xml:space="preserve">, CB-level HARQ </w:t>
      </w:r>
      <w:r w:rsidR="00310ED0">
        <w:rPr>
          <w:lang w:val="en-GB"/>
        </w:rPr>
        <w:t xml:space="preserve">requires </w:t>
      </w:r>
      <w:r w:rsidR="002148BF" w:rsidRPr="0025281D">
        <w:rPr>
          <w:lang w:val="en-GB"/>
        </w:rPr>
        <w:t>28-bit UCI feedback. Grouping 4-CBs as 1 CBG can reduce the feedback to 7 bits. However, there will be a performance loss associated with CBG HARQ vs. CB HARQ as shown in the Figure</w:t>
      </w:r>
      <w:r w:rsidR="00310ED0">
        <w:rPr>
          <w:lang w:val="en-GB"/>
        </w:rPr>
        <w:t xml:space="preserve"> as a performance/feedback overhead tradeoff</w:t>
      </w:r>
      <w:r w:rsidR="002148BF" w:rsidRPr="0025281D">
        <w:rPr>
          <w:lang w:val="en-GB"/>
        </w:rPr>
        <w:t xml:space="preserve">. Nevertheless, it still provides substantial gain over TB-level HARQ based on 1-bit feedback. Based on these results, it is clear that 1-bit feedback based HARQ is not sufficient for NR eMBB </w:t>
      </w:r>
      <w:r w:rsidR="001D287A">
        <w:rPr>
          <w:lang w:val="en-GB"/>
        </w:rPr>
        <w:t>considering URLLC multiplexing (Note that o</w:t>
      </w:r>
      <w:r w:rsidR="0025281D" w:rsidRPr="0025281D">
        <w:rPr>
          <w:lang w:val="en-GB"/>
        </w:rPr>
        <w:t xml:space="preserve">uter code based HARQ scheme further outperforms CB-level HARQ over all puncturing rates due to its capability </w:t>
      </w:r>
      <w:r w:rsidR="005B36B3">
        <w:rPr>
          <w:lang w:val="en-GB"/>
        </w:rPr>
        <w:t>to correct data CBs w/o requiring the exact location of the CBs</w:t>
      </w:r>
      <w:r w:rsidR="0036599E">
        <w:rPr>
          <w:lang w:val="en-GB"/>
        </w:rPr>
        <w:t>, only the number of parity CBs requested needs to be feedback</w:t>
      </w:r>
      <w:r w:rsidR="001D287A">
        <w:rPr>
          <w:lang w:val="en-GB"/>
        </w:rPr>
        <w:t>).</w:t>
      </w:r>
      <w:r w:rsidR="00736619">
        <w:rPr>
          <w:lang w:val="en-GB"/>
        </w:rPr>
        <w:t xml:space="preserve"> </w:t>
      </w:r>
    </w:p>
    <w:p w14:paraId="7844174C" w14:textId="7A1E97D7" w:rsidR="00736619" w:rsidRPr="00736619" w:rsidRDefault="00736619" w:rsidP="00736619">
      <w:pPr>
        <w:rPr>
          <w:lang w:val="en-GB"/>
        </w:rPr>
      </w:pPr>
      <w:r>
        <w:t>First priority to advance the design of multi-bit HARQ is to confirm the working assumption to support CBG based multi-bit HARQ.</w:t>
      </w:r>
    </w:p>
    <w:p w14:paraId="0DCFCEFA" w14:textId="0A31A33B" w:rsidR="00736619" w:rsidRPr="0025281D" w:rsidRDefault="00736619" w:rsidP="00736619">
      <w:pPr>
        <w:rPr>
          <w:lang w:val="en-GB"/>
        </w:rPr>
      </w:pPr>
      <w:bookmarkStart w:id="3" w:name="p1"/>
      <w:r>
        <w:rPr>
          <w:b/>
          <w:lang w:val="en-GB"/>
        </w:rPr>
        <w:t xml:space="preserve">Proposal </w:t>
      </w:r>
      <w:r>
        <w:rPr>
          <w:b/>
          <w:lang w:val="en-GB"/>
        </w:rPr>
        <w:fldChar w:fldCharType="begin"/>
      </w:r>
      <w:r>
        <w:rPr>
          <w:b/>
          <w:lang w:val="en-GB"/>
        </w:rPr>
        <w:instrText xml:space="preserve"> seq prop </w:instrText>
      </w:r>
      <w:r>
        <w:rPr>
          <w:b/>
          <w:lang w:val="en-GB"/>
        </w:rPr>
        <w:fldChar w:fldCharType="separate"/>
      </w:r>
      <w:r w:rsidR="00E134BC">
        <w:rPr>
          <w:b/>
          <w:noProof/>
          <w:lang w:val="en-GB"/>
        </w:rPr>
        <w:t>1</w:t>
      </w:r>
      <w:r>
        <w:rPr>
          <w:b/>
          <w:lang w:val="en-GB"/>
        </w:rPr>
        <w:fldChar w:fldCharType="end"/>
      </w:r>
      <w:r>
        <w:rPr>
          <w:b/>
          <w:lang w:val="en-GB"/>
        </w:rPr>
        <w:t xml:space="preserve">. Confirm the working assumption on supporting CBG-based transmission </w:t>
      </w:r>
      <w:r w:rsidRPr="004840BF">
        <w:rPr>
          <w:b/>
          <w:lang w:val="en-GB"/>
        </w:rPr>
        <w:t>with single/multi-bit HARQ-ACK feedback in Rel-15</w:t>
      </w:r>
      <w:r>
        <w:rPr>
          <w:b/>
          <w:lang w:val="en-GB"/>
        </w:rPr>
        <w:t>.</w:t>
      </w:r>
    </w:p>
    <w:bookmarkEnd w:id="3"/>
    <w:p w14:paraId="3734BFCA" w14:textId="1870310B" w:rsidR="003809C0" w:rsidRPr="0025281D" w:rsidRDefault="003809C0" w:rsidP="00474DBC">
      <w:pPr>
        <w:rPr>
          <w:lang w:val="en-GB"/>
        </w:rPr>
      </w:pPr>
    </w:p>
    <w:p w14:paraId="2F3775B8" w14:textId="77777777" w:rsidR="003809C0" w:rsidRDefault="003809C0" w:rsidP="003809C0">
      <w:pPr>
        <w:pStyle w:val="Heading2"/>
        <w:ind w:left="0" w:firstLine="0"/>
        <w:jc w:val="center"/>
      </w:pPr>
      <w:r w:rsidRPr="00FA7C8D">
        <w:rPr>
          <w:noProof/>
          <w:lang w:val="en-US" w:eastAsia="zh-CN"/>
        </w:rPr>
        <w:lastRenderedPageBreak/>
        <w:drawing>
          <wp:inline distT="0" distB="0" distL="0" distR="0" wp14:anchorId="75BA4CA1" wp14:editId="071AB520">
            <wp:extent cx="4071805" cy="331406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91282" cy="3329917"/>
                    </a:xfrm>
                    <a:prstGeom prst="rect">
                      <a:avLst/>
                    </a:prstGeom>
                    <a:noFill/>
                    <a:ln>
                      <a:noFill/>
                    </a:ln>
                  </pic:spPr>
                </pic:pic>
              </a:graphicData>
            </a:graphic>
          </wp:inline>
        </w:drawing>
      </w:r>
    </w:p>
    <w:p w14:paraId="7DABD421" w14:textId="15BE257C" w:rsidR="003809C0" w:rsidRDefault="003809C0" w:rsidP="003809C0">
      <w:pPr>
        <w:jc w:val="center"/>
        <w:rPr>
          <w:b/>
          <w:sz w:val="22"/>
        </w:rPr>
      </w:pPr>
      <w:r w:rsidRPr="001734AF">
        <w:rPr>
          <w:b/>
          <w:sz w:val="22"/>
        </w:rPr>
        <w:t>Figure</w:t>
      </w:r>
      <w:r>
        <w:rPr>
          <w:b/>
          <w:sz w:val="22"/>
        </w:rPr>
        <w:t xml:space="preserve"> 1</w:t>
      </w:r>
      <w:r w:rsidRPr="001734AF">
        <w:rPr>
          <w:b/>
          <w:sz w:val="22"/>
        </w:rPr>
        <w:t xml:space="preserve"> </w:t>
      </w:r>
      <w:r w:rsidR="0025281D">
        <w:rPr>
          <w:b/>
          <w:sz w:val="22"/>
        </w:rPr>
        <w:t>eMBB performance w/ URLLC CB puncturing with different multi-bit HARQ schemes</w:t>
      </w:r>
    </w:p>
    <w:p w14:paraId="4D1251A2" w14:textId="60713F60" w:rsidR="003809C0" w:rsidRDefault="003809C0" w:rsidP="004100B2">
      <w:pPr>
        <w:pStyle w:val="Heading2"/>
        <w:ind w:left="0" w:firstLine="0"/>
        <w:jc w:val="center"/>
      </w:pPr>
      <w:r w:rsidRPr="00FA7C8D">
        <w:rPr>
          <w:noProof/>
          <w:lang w:val="en-US" w:eastAsia="zh-CN"/>
        </w:rPr>
        <w:drawing>
          <wp:inline distT="0" distB="0" distL="0" distR="0" wp14:anchorId="26A35130" wp14:editId="626E59A1">
            <wp:extent cx="3771900" cy="3069974"/>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92152" cy="3086457"/>
                    </a:xfrm>
                    <a:prstGeom prst="rect">
                      <a:avLst/>
                    </a:prstGeom>
                    <a:noFill/>
                    <a:ln>
                      <a:noFill/>
                    </a:ln>
                  </pic:spPr>
                </pic:pic>
              </a:graphicData>
            </a:graphic>
          </wp:inline>
        </w:drawing>
      </w:r>
    </w:p>
    <w:p w14:paraId="52D2A2BF" w14:textId="2C50FBBF" w:rsidR="003809C0" w:rsidRPr="00D85341" w:rsidRDefault="003809C0" w:rsidP="003809C0">
      <w:pPr>
        <w:jc w:val="center"/>
        <w:rPr>
          <w:b/>
          <w:lang w:eastAsia="ko-KR"/>
        </w:rPr>
      </w:pPr>
      <w:r w:rsidRPr="001734AF">
        <w:rPr>
          <w:b/>
          <w:sz w:val="22"/>
        </w:rPr>
        <w:t>Figure</w:t>
      </w:r>
      <w:r>
        <w:rPr>
          <w:b/>
          <w:sz w:val="22"/>
        </w:rPr>
        <w:t xml:space="preserve"> 2</w:t>
      </w:r>
      <w:r w:rsidRPr="001734AF">
        <w:rPr>
          <w:b/>
          <w:sz w:val="22"/>
        </w:rPr>
        <w:t xml:space="preserve"> </w:t>
      </w:r>
      <w:r>
        <w:rPr>
          <w:b/>
          <w:sz w:val="22"/>
        </w:rPr>
        <w:t>eMBB performance comparison w/ and w/o indication (zoomed in)</w:t>
      </w:r>
    </w:p>
    <w:p w14:paraId="15F612B4" w14:textId="2D1B7296" w:rsidR="000A0E34" w:rsidRPr="00F01C74" w:rsidRDefault="004100B2" w:rsidP="00474DBC">
      <w:pPr>
        <w:rPr>
          <w:lang w:val="en-GB"/>
        </w:rPr>
      </w:pPr>
      <w:r>
        <w:rPr>
          <w:lang w:val="en-GB"/>
        </w:rPr>
        <w:t>As can be seen</w:t>
      </w:r>
      <w:r w:rsidR="00CF76CB">
        <w:rPr>
          <w:lang w:val="en-GB"/>
        </w:rPr>
        <w:t xml:space="preserve">, with smaller CBG size, </w:t>
      </w:r>
      <w:r>
        <w:rPr>
          <w:lang w:val="en-GB"/>
        </w:rPr>
        <w:t xml:space="preserve">performance is improved, and at the same time, </w:t>
      </w:r>
      <w:r w:rsidR="00CF76CB">
        <w:rPr>
          <w:lang w:val="en-GB"/>
        </w:rPr>
        <w:t>more information needs to be feedbac</w:t>
      </w:r>
      <w:r w:rsidR="00A03D28">
        <w:rPr>
          <w:lang w:val="en-GB"/>
        </w:rPr>
        <w:t>k to the transmitter, which puts higher requirement on the DL or UL control channels. As a result, applying some compression schemes to the CBG A/N feedback can be an attractive trade-off. To design an efficient compression schemes, some statistics of CBG A/N can be used. For exa</w:t>
      </w:r>
      <w:r w:rsidR="00E134BC">
        <w:rPr>
          <w:lang w:val="en-GB"/>
        </w:rPr>
        <w:t>outer</w:t>
      </w:r>
      <w:r w:rsidR="00A03D28">
        <w:rPr>
          <w:lang w:val="en-GB"/>
        </w:rPr>
        <w:t xml:space="preserve">mple, if we know there can be only up to only one CBG with CRC failure among all CBGs, we only need to feedback the CBG index for the NAK. Yet another example is, if we know the CRC failed </w:t>
      </w:r>
      <w:r w:rsidR="00832F67">
        <w:rPr>
          <w:lang w:val="en-GB"/>
        </w:rPr>
        <w:t>CBGs are contiguous in CBG index domain, we can feedback the starting CBG index of the failed CBGs and the run length. However, the CBG failure patterns are typically not fully under control. In the case the CBG failures do not follow the assumed pattern, we can used some lossy compression. For example, if the failed CBGs form two bursts, while a single CBG failure burst is assumed for CBG A/N report, the CBG A/N report used can be a bursty that covers both bursts. This effectively is a lossy compression scheme, where we trade off CBG A/N report length with some redundant CBG retransmissions.</w:t>
      </w:r>
      <w:r w:rsidR="00D020D5">
        <w:rPr>
          <w:lang w:val="en-GB"/>
        </w:rPr>
        <w:t xml:space="preserve"> </w:t>
      </w:r>
    </w:p>
    <w:p w14:paraId="01BA7657" w14:textId="6C01461A" w:rsidR="00A54628" w:rsidRDefault="00A54628" w:rsidP="00474DBC">
      <w:pPr>
        <w:rPr>
          <w:b/>
          <w:lang w:val="en-GB"/>
        </w:rPr>
      </w:pPr>
      <w:bookmarkStart w:id="4" w:name="p2"/>
      <w:r>
        <w:rPr>
          <w:b/>
          <w:lang w:val="en-GB"/>
        </w:rPr>
        <w:t>Proposal</w:t>
      </w:r>
      <w:r w:rsidR="000A0E34">
        <w:rPr>
          <w:b/>
          <w:lang w:val="en-GB"/>
        </w:rPr>
        <w:t xml:space="preserve"> </w:t>
      </w:r>
      <w:r w:rsidR="000A0E34">
        <w:rPr>
          <w:b/>
          <w:lang w:val="en-GB"/>
        </w:rPr>
        <w:fldChar w:fldCharType="begin"/>
      </w:r>
      <w:r w:rsidR="000A0E34">
        <w:rPr>
          <w:b/>
          <w:lang w:val="en-GB"/>
        </w:rPr>
        <w:instrText xml:space="preserve"> seq prop </w:instrText>
      </w:r>
      <w:r w:rsidR="000A0E34">
        <w:rPr>
          <w:b/>
          <w:lang w:val="en-GB"/>
        </w:rPr>
        <w:fldChar w:fldCharType="separate"/>
      </w:r>
      <w:r w:rsidR="00E134BC">
        <w:rPr>
          <w:b/>
          <w:noProof/>
          <w:lang w:val="en-GB"/>
        </w:rPr>
        <w:t>2</w:t>
      </w:r>
      <w:r w:rsidR="000A0E34">
        <w:rPr>
          <w:b/>
          <w:lang w:val="en-GB"/>
        </w:rPr>
        <w:fldChar w:fldCharType="end"/>
      </w:r>
      <w:r>
        <w:rPr>
          <w:b/>
          <w:lang w:val="en-GB"/>
        </w:rPr>
        <w:t>: CBG A/N feedback can use lossless or lossy compression schemes</w:t>
      </w:r>
    </w:p>
    <w:bookmarkEnd w:id="4"/>
    <w:p w14:paraId="717421FE" w14:textId="77777777" w:rsidR="00E134BC" w:rsidRPr="00F01C74" w:rsidRDefault="00E134BC" w:rsidP="00E134BC">
      <w:pPr>
        <w:rPr>
          <w:lang w:val="en-GB"/>
        </w:rPr>
      </w:pPr>
      <w:r>
        <w:rPr>
          <w:lang w:val="en-GB"/>
        </w:rPr>
        <w:lastRenderedPageBreak/>
        <w:t>One way to achieve lossless compression of the errors is to adopt outer coding based CB(G)-HARQ. In such scenarios, outer code could use additional parities to recover the data CB errors in the previous transmission without having to feedback the exact location of the errors. Only the total number of CB parities will be feedback. Also lossy compression could also be applied to outer code to achieve lower overhead.</w:t>
      </w:r>
    </w:p>
    <w:p w14:paraId="61FCA8CC" w14:textId="4F226CC9" w:rsidR="00A54628" w:rsidRDefault="00A54628" w:rsidP="00E134BC">
      <w:pPr>
        <w:rPr>
          <w:b/>
          <w:lang w:val="en-GB"/>
        </w:rPr>
      </w:pPr>
      <w:bookmarkStart w:id="5" w:name="p3"/>
      <w:r>
        <w:rPr>
          <w:b/>
          <w:lang w:val="en-GB"/>
        </w:rPr>
        <w:t xml:space="preserve">Proposal </w:t>
      </w:r>
      <w:r w:rsidR="000A0E34">
        <w:rPr>
          <w:b/>
          <w:lang w:val="en-GB"/>
        </w:rPr>
        <w:fldChar w:fldCharType="begin"/>
      </w:r>
      <w:r w:rsidR="000A0E34">
        <w:rPr>
          <w:b/>
          <w:lang w:val="en-GB"/>
        </w:rPr>
        <w:instrText xml:space="preserve"> seq prop </w:instrText>
      </w:r>
      <w:r w:rsidR="000A0E34">
        <w:rPr>
          <w:b/>
          <w:lang w:val="en-GB"/>
        </w:rPr>
        <w:fldChar w:fldCharType="separate"/>
      </w:r>
      <w:r w:rsidR="00E134BC">
        <w:rPr>
          <w:b/>
          <w:noProof/>
          <w:lang w:val="en-GB"/>
        </w:rPr>
        <w:t>3</w:t>
      </w:r>
      <w:r w:rsidR="000A0E34">
        <w:rPr>
          <w:b/>
          <w:lang w:val="en-GB"/>
        </w:rPr>
        <w:fldChar w:fldCharType="end"/>
      </w:r>
      <w:r>
        <w:rPr>
          <w:b/>
          <w:lang w:val="en-GB"/>
        </w:rPr>
        <w:t>: Outer code can be one CB</w:t>
      </w:r>
      <w:r w:rsidR="00445275">
        <w:rPr>
          <w:b/>
          <w:lang w:val="en-GB"/>
        </w:rPr>
        <w:t>(</w:t>
      </w:r>
      <w:r>
        <w:rPr>
          <w:b/>
          <w:lang w:val="en-GB"/>
        </w:rPr>
        <w:t>G</w:t>
      </w:r>
      <w:r w:rsidR="00445275">
        <w:rPr>
          <w:b/>
          <w:lang w:val="en-GB"/>
        </w:rPr>
        <w:t>)</w:t>
      </w:r>
      <w:r>
        <w:rPr>
          <w:b/>
          <w:lang w:val="en-GB"/>
        </w:rPr>
        <w:t xml:space="preserve"> A/N feedback compression scheme</w:t>
      </w:r>
    </w:p>
    <w:bookmarkEnd w:id="5"/>
    <w:p w14:paraId="7E5F9FAA" w14:textId="7D85989F" w:rsidR="002A0B89" w:rsidRDefault="002A0B89" w:rsidP="002A0B89">
      <w:pPr>
        <w:pStyle w:val="Heading2"/>
      </w:pPr>
      <w:r>
        <w:t>2.2 Importance UL Reliability</w:t>
      </w:r>
    </w:p>
    <w:p w14:paraId="61C7B4CE" w14:textId="4D7B333A" w:rsidR="00832F67" w:rsidRDefault="00832F67" w:rsidP="00474DBC">
      <w:pPr>
        <w:rPr>
          <w:lang w:val="en-GB"/>
        </w:rPr>
      </w:pPr>
      <w:r>
        <w:rPr>
          <w:lang w:val="en-GB"/>
        </w:rPr>
        <w:t>When CBG-based retransmission is applied to PDSCH, the UE will send back CBG A/N. It turns out the reliability of the CBG A/N feedback is critical. H</w:t>
      </w:r>
      <w:r w:rsidR="00527681">
        <w:rPr>
          <w:lang w:val="en-GB"/>
        </w:rPr>
        <w:t>ere are some</w:t>
      </w:r>
      <w:r>
        <w:rPr>
          <w:lang w:val="en-GB"/>
        </w:rPr>
        <w:t xml:space="preserve"> example</w:t>
      </w:r>
      <w:r w:rsidR="00527681">
        <w:rPr>
          <w:lang w:val="en-GB"/>
        </w:rPr>
        <w:t>s</w:t>
      </w:r>
      <w:r>
        <w:rPr>
          <w:lang w:val="en-GB"/>
        </w:rPr>
        <w:t>:</w:t>
      </w:r>
    </w:p>
    <w:p w14:paraId="21CEB622" w14:textId="77777777" w:rsidR="00832F67" w:rsidRDefault="00832F67" w:rsidP="00832F67">
      <w:pPr>
        <w:keepNext/>
      </w:pPr>
      <w:r w:rsidRPr="00832F67">
        <w:rPr>
          <w:b/>
        </w:rPr>
        <w:object w:dxaOrig="9871" w:dyaOrig="2095" w14:anchorId="661B7E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02pt" o:ole="">
            <v:imagedata r:id="rId15" o:title=""/>
          </v:shape>
          <o:OLEObject Type="Embed" ProgID="Visio.Drawing.11" ShapeID="_x0000_i1025" DrawAspect="Content" ObjectID="_1551901726" r:id="rId16"/>
        </w:object>
      </w:r>
    </w:p>
    <w:p w14:paraId="122E0508" w14:textId="55C343CD" w:rsidR="00832F67" w:rsidRDefault="00832F67" w:rsidP="00832F67">
      <w:pPr>
        <w:pStyle w:val="Caption"/>
      </w:pPr>
      <w:bookmarkStart w:id="6" w:name="_Ref477880245"/>
      <w:r>
        <w:t xml:space="preserve">Figure </w:t>
      </w:r>
      <w:fldSimple w:instr=" SEQ Figure \* ARABIC ">
        <w:r w:rsidR="00E134BC">
          <w:rPr>
            <w:noProof/>
          </w:rPr>
          <w:t>1</w:t>
        </w:r>
      </w:fldSimple>
      <w:bookmarkEnd w:id="6"/>
      <w:r>
        <w:t>. Example with correct CBG A/N decoding</w:t>
      </w:r>
    </w:p>
    <w:p w14:paraId="1E1AA601" w14:textId="4E5DEED5" w:rsidR="00832F67" w:rsidRDefault="00527681" w:rsidP="00832F67">
      <w:r>
        <w:t xml:space="preserve">In </w:t>
      </w:r>
      <w:r>
        <w:fldChar w:fldCharType="begin"/>
      </w:r>
      <w:r>
        <w:instrText xml:space="preserve"> REF _Ref477880245 \h </w:instrText>
      </w:r>
      <w:r>
        <w:fldChar w:fldCharType="separate"/>
      </w:r>
      <w:r w:rsidR="00E134BC">
        <w:t xml:space="preserve">Figure </w:t>
      </w:r>
      <w:r w:rsidR="00E134BC">
        <w:rPr>
          <w:noProof/>
        </w:rPr>
        <w:t>1</w:t>
      </w:r>
      <w:r>
        <w:fldChar w:fldCharType="end"/>
      </w:r>
      <w:r>
        <w:t>, we show an example with 12 CBGs in the TB. In the first transmission, 4 of the CBGs failed, and the UE requests the retransmission of these 4. The CBG A/N report is correctly decoded, and in the retransmission, only the 4 failed CBGs are retransmitt</w:t>
      </w:r>
      <w:r w:rsidR="007259CA">
        <w:t>ed</w:t>
      </w:r>
      <w:r>
        <w:t xml:space="preserve">. The UE </w:t>
      </w:r>
      <w:r w:rsidR="001A2B58">
        <w:t xml:space="preserve">may or may not </w:t>
      </w:r>
      <w:r>
        <w:t xml:space="preserve">perform soft LLR combining </w:t>
      </w:r>
      <w:r w:rsidR="001A2B58">
        <w:t xml:space="preserve">(depending on whether it is due to bursty interference or puncturing) </w:t>
      </w:r>
      <w:r>
        <w:t>of these 4 CBGs with the LLRs of these CBGs already in the buffer and attempt a new decoding</w:t>
      </w:r>
      <w:r w:rsidR="00BF6E9F">
        <w:t xml:space="preserve"> for these CBGs</w:t>
      </w:r>
      <w:r>
        <w:t xml:space="preserve">. </w:t>
      </w:r>
    </w:p>
    <w:p w14:paraId="33C9DE4C" w14:textId="16C67956" w:rsidR="00832F67" w:rsidRDefault="00832F67" w:rsidP="00832F67">
      <w:r w:rsidRPr="00832F67">
        <w:object w:dxaOrig="9871" w:dyaOrig="2095" w14:anchorId="225DB397">
          <v:shape id="_x0000_i1026" type="#_x0000_t75" style="width:481.5pt;height:102pt" o:ole="">
            <v:imagedata r:id="rId17" o:title=""/>
          </v:shape>
          <o:OLEObject Type="Embed" ProgID="Visio.Drawing.11" ShapeID="_x0000_i1026" DrawAspect="Content" ObjectID="_1551901727" r:id="rId18"/>
        </w:object>
      </w:r>
    </w:p>
    <w:p w14:paraId="41AC85B3" w14:textId="498F5036" w:rsidR="00832F67" w:rsidRDefault="00832F67" w:rsidP="00832F67">
      <w:pPr>
        <w:pStyle w:val="Caption"/>
      </w:pPr>
      <w:bookmarkStart w:id="7" w:name="_Ref477880249"/>
      <w:r>
        <w:t xml:space="preserve">Figure </w:t>
      </w:r>
      <w:fldSimple w:instr=" SEQ Figure \* ARABIC ">
        <w:r w:rsidR="00E134BC">
          <w:rPr>
            <w:noProof/>
          </w:rPr>
          <w:t>2</w:t>
        </w:r>
      </w:fldSimple>
      <w:bookmarkEnd w:id="7"/>
      <w:r>
        <w:t>. Example with wrong CBG A/N decoding</w:t>
      </w:r>
    </w:p>
    <w:p w14:paraId="57C8701E" w14:textId="7B90C766" w:rsidR="00BF6E9F" w:rsidRDefault="00527681" w:rsidP="00BF6E9F">
      <w:r>
        <w:t xml:space="preserve">In </w:t>
      </w:r>
      <w:r>
        <w:fldChar w:fldCharType="begin"/>
      </w:r>
      <w:r>
        <w:instrText xml:space="preserve"> REF _Ref477880249 \h </w:instrText>
      </w:r>
      <w:r>
        <w:fldChar w:fldCharType="separate"/>
      </w:r>
      <w:r w:rsidR="00E134BC">
        <w:t xml:space="preserve">Figure </w:t>
      </w:r>
      <w:r w:rsidR="00E134BC">
        <w:rPr>
          <w:noProof/>
        </w:rPr>
        <w:t>2</w:t>
      </w:r>
      <w:r>
        <w:fldChar w:fldCharType="end"/>
      </w:r>
      <w:r w:rsidR="00BF6E9F">
        <w:t xml:space="preserve">, we show the same example with 12 CBGs in the TB. In the first transmission, 4 of the CBGs failed, and the UE requests the retransmission of these 4. This time, the CBG A/N report is decoded incorrectly. Instead of retransmitting CBGs 4, 5, 6, and 8, the gNB is retransmitting CBGs 3, 5, and 6. </w:t>
      </w:r>
      <w:r w:rsidR="004414D8">
        <w:t>If UE purely relies on gNB’s exact knowledge of the CB(G) failure pattern, t</w:t>
      </w:r>
      <w:r w:rsidR="00BF6E9F">
        <w:t>he UE will assume CBGs 4, 5, 6 and 8 are included in the retransmission, and will combine the LLRs for CBGs 3, 5 and 6 with that of CBGs 4, 5, 6, and 8 in the soft buffer. As a result, the decoding will fail, and will continue to fail in future retransmissions as wrong LLRs are combined.</w:t>
      </w:r>
    </w:p>
    <w:p w14:paraId="693AB5C2" w14:textId="6D96A906" w:rsidR="00832F67" w:rsidRDefault="00BF6E9F" w:rsidP="00474DBC">
      <w:r>
        <w:t xml:space="preserve">This example shows that the reliability of CBG A/N needs to be reasonable high, as there will be undetectable error events and it will take upper layer long time to detect the error and arrange retransmission. </w:t>
      </w:r>
    </w:p>
    <w:p w14:paraId="47DF40D1" w14:textId="66CFA929" w:rsidR="00BF6E9F" w:rsidRDefault="00BF6E9F" w:rsidP="00474DBC">
      <w:pPr>
        <w:rPr>
          <w:b/>
          <w:lang w:val="en-GB"/>
        </w:rPr>
      </w:pPr>
      <w:r>
        <w:t xml:space="preserve">To provide higher reliability, we can always include a CRC field in the CBG A/N feedback. In this way, at least the CBG A/N report decoding error event </w:t>
      </w:r>
      <w:r w:rsidR="00913859">
        <w:t xml:space="preserve">can </w:t>
      </w:r>
      <w:r>
        <w:t xml:space="preserve">be detected. However, when the number of CBGs is not very large, including a CRC field substantially increases the UCI payload and may not be efficient. Alternatively, we can introduce some additional CBG A/N information confirmation mechanism in the retransmission grant, such that </w:t>
      </w:r>
      <w:r w:rsidR="00C82A30">
        <w:t>the UE can verify from the retransmission grant that the CBG A/N assumed by gNB is the same as the CBG A/N report it transmitted.</w:t>
      </w:r>
    </w:p>
    <w:p w14:paraId="58E48399" w14:textId="0768BE20" w:rsidR="004840BF" w:rsidRDefault="004840BF" w:rsidP="00474DBC">
      <w:pPr>
        <w:rPr>
          <w:b/>
          <w:lang w:val="en-GB"/>
        </w:rPr>
      </w:pPr>
      <w:bookmarkStart w:id="8" w:name="o1"/>
      <w:r>
        <w:rPr>
          <w:b/>
          <w:lang w:val="en-GB"/>
        </w:rPr>
        <w:t xml:space="preserve">Observation </w:t>
      </w:r>
      <w:r>
        <w:rPr>
          <w:b/>
          <w:lang w:val="en-GB"/>
        </w:rPr>
        <w:fldChar w:fldCharType="begin"/>
      </w:r>
      <w:r>
        <w:rPr>
          <w:b/>
          <w:lang w:val="en-GB"/>
        </w:rPr>
        <w:instrText xml:space="preserve"> seq obs </w:instrText>
      </w:r>
      <w:r>
        <w:rPr>
          <w:b/>
          <w:lang w:val="en-GB"/>
        </w:rPr>
        <w:fldChar w:fldCharType="separate"/>
      </w:r>
      <w:r w:rsidR="00E134BC">
        <w:rPr>
          <w:b/>
          <w:noProof/>
          <w:lang w:val="en-GB"/>
        </w:rPr>
        <w:t>1</w:t>
      </w:r>
      <w:r>
        <w:rPr>
          <w:b/>
          <w:lang w:val="en-GB"/>
        </w:rPr>
        <w:fldChar w:fldCharType="end"/>
      </w:r>
      <w:r>
        <w:rPr>
          <w:b/>
          <w:lang w:val="en-GB"/>
        </w:rPr>
        <w:t xml:space="preserve">. </w:t>
      </w:r>
      <w:r w:rsidR="00832F67">
        <w:rPr>
          <w:b/>
          <w:lang w:val="en-GB"/>
        </w:rPr>
        <w:t xml:space="preserve">For CBG-based PDSCH transmission, </w:t>
      </w:r>
      <w:r w:rsidR="00A54628">
        <w:rPr>
          <w:b/>
          <w:lang w:val="en-GB"/>
        </w:rPr>
        <w:t xml:space="preserve">CBG A/N </w:t>
      </w:r>
      <w:r w:rsidR="00832F67">
        <w:rPr>
          <w:b/>
          <w:lang w:val="en-GB"/>
        </w:rPr>
        <w:t xml:space="preserve">decoding </w:t>
      </w:r>
      <w:r w:rsidR="00A54628">
        <w:rPr>
          <w:b/>
          <w:lang w:val="en-GB"/>
        </w:rPr>
        <w:t>error event</w:t>
      </w:r>
      <w:r w:rsidR="00832F67">
        <w:rPr>
          <w:b/>
          <w:lang w:val="en-GB"/>
        </w:rPr>
        <w:t xml:space="preserve"> has error propagation issue.</w:t>
      </w:r>
    </w:p>
    <w:p w14:paraId="186AAD88" w14:textId="6FC653C1" w:rsidR="008D745F" w:rsidRDefault="008D745F" w:rsidP="008D745F">
      <w:pPr>
        <w:rPr>
          <w:b/>
          <w:lang w:val="en-GB"/>
        </w:rPr>
      </w:pPr>
      <w:bookmarkStart w:id="9" w:name="p4"/>
      <w:bookmarkEnd w:id="8"/>
      <w:r>
        <w:rPr>
          <w:b/>
          <w:lang w:val="en-GB"/>
        </w:rPr>
        <w:t xml:space="preserve">Observation </w:t>
      </w:r>
      <w:r>
        <w:rPr>
          <w:b/>
          <w:lang w:val="en-GB"/>
        </w:rPr>
        <w:fldChar w:fldCharType="begin"/>
      </w:r>
      <w:r>
        <w:rPr>
          <w:b/>
          <w:lang w:val="en-GB"/>
        </w:rPr>
        <w:instrText xml:space="preserve"> seq obs </w:instrText>
      </w:r>
      <w:r>
        <w:rPr>
          <w:b/>
          <w:lang w:val="en-GB"/>
        </w:rPr>
        <w:fldChar w:fldCharType="separate"/>
      </w:r>
      <w:r w:rsidR="00E134BC">
        <w:rPr>
          <w:b/>
          <w:noProof/>
          <w:lang w:val="en-GB"/>
        </w:rPr>
        <w:t>2</w:t>
      </w:r>
      <w:r>
        <w:rPr>
          <w:b/>
          <w:lang w:val="en-GB"/>
        </w:rPr>
        <w:fldChar w:fldCharType="end"/>
      </w:r>
      <w:r w:rsidR="00A54628">
        <w:rPr>
          <w:b/>
          <w:lang w:val="en-GB"/>
        </w:rPr>
        <w:t xml:space="preserve">: </w:t>
      </w:r>
      <w:r>
        <w:rPr>
          <w:b/>
          <w:lang w:val="en-GB"/>
        </w:rPr>
        <w:t>For CBG-based PDSCH transmission, either a highly reliable CBG A/N is fed back, or some type of CBG A/N confirmation mechanism is needed to avoid error propagation.</w:t>
      </w:r>
    </w:p>
    <w:bookmarkEnd w:id="9"/>
    <w:p w14:paraId="5564266B" w14:textId="3AD94F7E" w:rsidR="00A54628" w:rsidRPr="00C82A30" w:rsidRDefault="00C82A30" w:rsidP="00474DBC">
      <w:pPr>
        <w:rPr>
          <w:lang w:val="en-GB"/>
        </w:rPr>
      </w:pPr>
      <w:r w:rsidRPr="00C82A30">
        <w:rPr>
          <w:lang w:val="en-GB"/>
        </w:rPr>
        <w:lastRenderedPageBreak/>
        <w:t xml:space="preserve">For </w:t>
      </w:r>
      <w:r>
        <w:rPr>
          <w:lang w:val="en-GB"/>
        </w:rPr>
        <w:t>CBG-based PUSCH transmission, the gNB sends the CBG A/N to UE. The information is carried by PDCCH, and will have CRC protection. In this case, the CBG A/N decoding error event will be of low probability, and will not have the same reliability issue as the CBG-based PDSCH transmission.</w:t>
      </w:r>
    </w:p>
    <w:p w14:paraId="2F77E7C7" w14:textId="7D7DDEB3" w:rsidR="00491EEE" w:rsidRDefault="004A7390" w:rsidP="00843B71">
      <w:pPr>
        <w:pStyle w:val="Heading1"/>
        <w:jc w:val="both"/>
      </w:pPr>
      <w:r>
        <w:t>3</w:t>
      </w:r>
      <w:r w:rsidR="00491EEE" w:rsidRPr="00E05A22">
        <w:tab/>
        <w:t xml:space="preserve">Conclusions </w:t>
      </w:r>
    </w:p>
    <w:p w14:paraId="731D85CD" w14:textId="03B29DD1" w:rsidR="00D74635" w:rsidRDefault="00474DBC" w:rsidP="006C2EC2">
      <w:pPr>
        <w:rPr>
          <w:lang w:val="en-GB"/>
        </w:rPr>
      </w:pPr>
      <w:r>
        <w:rPr>
          <w:lang w:val="en-GB"/>
        </w:rPr>
        <w:t xml:space="preserve">In this paper, we </w:t>
      </w:r>
      <w:r w:rsidR="00C82A30">
        <w:rPr>
          <w:lang w:val="en-GB"/>
        </w:rPr>
        <w:t xml:space="preserve">considered some design </w:t>
      </w:r>
      <w:r w:rsidR="0095247E">
        <w:rPr>
          <w:lang w:val="en-GB"/>
        </w:rPr>
        <w:t xml:space="preserve">principles </w:t>
      </w:r>
      <w:r w:rsidR="00C82A30">
        <w:rPr>
          <w:lang w:val="en-GB"/>
        </w:rPr>
        <w:t xml:space="preserve">for </w:t>
      </w:r>
      <w:r w:rsidR="0095247E">
        <w:rPr>
          <w:lang w:val="en-GB"/>
        </w:rPr>
        <w:t xml:space="preserve">multibit HARQ feedback schemes (in particular, </w:t>
      </w:r>
      <w:r w:rsidR="00C82A30">
        <w:rPr>
          <w:lang w:val="en-GB"/>
        </w:rPr>
        <w:t>CBG-based transmission</w:t>
      </w:r>
      <w:r w:rsidR="0095247E">
        <w:rPr>
          <w:lang w:val="en-GB"/>
        </w:rPr>
        <w:t>)</w:t>
      </w:r>
      <w:r w:rsidR="00C82A30">
        <w:rPr>
          <w:lang w:val="en-GB"/>
        </w:rPr>
        <w:t>, and has the following proposals and observations.</w:t>
      </w:r>
    </w:p>
    <w:p w14:paraId="79DB586E" w14:textId="77777777" w:rsidR="00E134BC" w:rsidRPr="0025281D" w:rsidRDefault="00E134BC" w:rsidP="00736619">
      <w:pPr>
        <w:rPr>
          <w:lang w:val="en-GB"/>
        </w:rPr>
      </w:pPr>
      <w:r>
        <w:rPr>
          <w:lang w:val="en-GB"/>
        </w:rPr>
        <w:fldChar w:fldCharType="begin"/>
      </w:r>
      <w:r>
        <w:rPr>
          <w:lang w:val="en-GB"/>
        </w:rPr>
        <w:instrText xml:space="preserve"> REF p1 \h </w:instrText>
      </w:r>
      <w:r>
        <w:rPr>
          <w:lang w:val="en-GB"/>
        </w:rPr>
      </w:r>
      <w:r>
        <w:rPr>
          <w:lang w:val="en-GB"/>
        </w:rPr>
        <w:fldChar w:fldCharType="separate"/>
      </w:r>
      <w:r>
        <w:rPr>
          <w:b/>
          <w:lang w:val="en-GB"/>
        </w:rPr>
        <w:t xml:space="preserve">Proposal </w:t>
      </w:r>
      <w:r>
        <w:rPr>
          <w:b/>
          <w:noProof/>
          <w:lang w:val="en-GB"/>
        </w:rPr>
        <w:t>1</w:t>
      </w:r>
      <w:r>
        <w:rPr>
          <w:b/>
          <w:lang w:val="en-GB"/>
        </w:rPr>
        <w:t xml:space="preserve">. Confirm the working assumption on supporting CBG-based transmission </w:t>
      </w:r>
      <w:r w:rsidRPr="004840BF">
        <w:rPr>
          <w:b/>
          <w:lang w:val="en-GB"/>
        </w:rPr>
        <w:t>with single/multi-bit HARQ-ACK feedback in Rel-15</w:t>
      </w:r>
      <w:r>
        <w:rPr>
          <w:b/>
          <w:lang w:val="en-GB"/>
        </w:rPr>
        <w:t>.</w:t>
      </w:r>
    </w:p>
    <w:p w14:paraId="4DF09A1B" w14:textId="77777777" w:rsidR="00E134BC" w:rsidRDefault="00E134BC" w:rsidP="00474DBC">
      <w:pPr>
        <w:rPr>
          <w:b/>
          <w:lang w:val="en-GB"/>
        </w:rPr>
      </w:pPr>
      <w:r>
        <w:rPr>
          <w:lang w:val="en-GB"/>
        </w:rPr>
        <w:fldChar w:fldCharType="end"/>
      </w:r>
      <w:r>
        <w:rPr>
          <w:lang w:val="en-GB"/>
        </w:rPr>
        <w:fldChar w:fldCharType="begin"/>
      </w:r>
      <w:r>
        <w:rPr>
          <w:lang w:val="en-GB"/>
        </w:rPr>
        <w:instrText xml:space="preserve"> REF p2 \h </w:instrText>
      </w:r>
      <w:r>
        <w:rPr>
          <w:lang w:val="en-GB"/>
        </w:rPr>
      </w:r>
      <w:r>
        <w:rPr>
          <w:lang w:val="en-GB"/>
        </w:rPr>
        <w:fldChar w:fldCharType="separate"/>
      </w:r>
      <w:r>
        <w:rPr>
          <w:b/>
          <w:lang w:val="en-GB"/>
        </w:rPr>
        <w:t xml:space="preserve">Proposal </w:t>
      </w:r>
      <w:r>
        <w:rPr>
          <w:b/>
          <w:noProof/>
          <w:lang w:val="en-GB"/>
        </w:rPr>
        <w:t>2</w:t>
      </w:r>
      <w:r>
        <w:rPr>
          <w:b/>
          <w:lang w:val="en-GB"/>
        </w:rPr>
        <w:t>: CBG A/N feedback can use lossless or lossy compression schemes</w:t>
      </w:r>
    </w:p>
    <w:p w14:paraId="4D61F6D3" w14:textId="77777777" w:rsidR="00E134BC" w:rsidRDefault="00E134BC" w:rsidP="00E134BC">
      <w:pPr>
        <w:rPr>
          <w:b/>
          <w:lang w:val="en-GB"/>
        </w:rPr>
      </w:pPr>
      <w:r>
        <w:rPr>
          <w:lang w:val="en-GB"/>
        </w:rPr>
        <w:fldChar w:fldCharType="end"/>
      </w:r>
      <w:r w:rsidR="00C82A30">
        <w:rPr>
          <w:lang w:val="en-GB"/>
        </w:rPr>
        <w:fldChar w:fldCharType="begin"/>
      </w:r>
      <w:r w:rsidR="00C82A30">
        <w:rPr>
          <w:lang w:val="en-GB"/>
        </w:rPr>
        <w:instrText xml:space="preserve"> REF p3 \h </w:instrText>
      </w:r>
      <w:r w:rsidR="00C82A30">
        <w:rPr>
          <w:lang w:val="en-GB"/>
        </w:rPr>
      </w:r>
      <w:r w:rsidR="00C82A30">
        <w:rPr>
          <w:lang w:val="en-GB"/>
        </w:rPr>
        <w:fldChar w:fldCharType="separate"/>
      </w:r>
      <w:r>
        <w:rPr>
          <w:b/>
          <w:lang w:val="en-GB"/>
        </w:rPr>
        <w:t xml:space="preserve">Proposal </w:t>
      </w:r>
      <w:r>
        <w:rPr>
          <w:b/>
          <w:noProof/>
          <w:lang w:val="en-GB"/>
        </w:rPr>
        <w:t>3</w:t>
      </w:r>
      <w:r>
        <w:rPr>
          <w:b/>
          <w:lang w:val="en-GB"/>
        </w:rPr>
        <w:t>: Outer code can be one CB(G) A/N feedback compression scheme</w:t>
      </w:r>
    </w:p>
    <w:p w14:paraId="7F5058DA" w14:textId="77777777" w:rsidR="00E134BC" w:rsidRDefault="00C82A30" w:rsidP="00474DBC">
      <w:pPr>
        <w:rPr>
          <w:b/>
          <w:lang w:val="en-GB"/>
        </w:rPr>
      </w:pPr>
      <w:r>
        <w:rPr>
          <w:lang w:val="en-GB"/>
        </w:rPr>
        <w:fldChar w:fldCharType="end"/>
      </w:r>
      <w:r w:rsidR="00E134BC">
        <w:rPr>
          <w:lang w:val="en-GB"/>
        </w:rPr>
        <w:fldChar w:fldCharType="begin"/>
      </w:r>
      <w:r w:rsidR="00E134BC">
        <w:rPr>
          <w:lang w:val="en-GB"/>
        </w:rPr>
        <w:instrText xml:space="preserve"> REF o1 \h </w:instrText>
      </w:r>
      <w:r w:rsidR="00E134BC">
        <w:rPr>
          <w:lang w:val="en-GB"/>
        </w:rPr>
      </w:r>
      <w:r w:rsidR="00E134BC">
        <w:rPr>
          <w:lang w:val="en-GB"/>
        </w:rPr>
        <w:fldChar w:fldCharType="separate"/>
      </w:r>
      <w:r w:rsidR="00E134BC">
        <w:rPr>
          <w:b/>
          <w:lang w:val="en-GB"/>
        </w:rPr>
        <w:t xml:space="preserve">Observation </w:t>
      </w:r>
      <w:r w:rsidR="00E134BC">
        <w:rPr>
          <w:b/>
          <w:noProof/>
          <w:lang w:val="en-GB"/>
        </w:rPr>
        <w:t>1</w:t>
      </w:r>
      <w:r w:rsidR="00E134BC">
        <w:rPr>
          <w:b/>
          <w:lang w:val="en-GB"/>
        </w:rPr>
        <w:t>. For CBG-based PDSCH transmission, CBG A/N decoding error event has error propagation issue.</w:t>
      </w:r>
    </w:p>
    <w:p w14:paraId="23E8FCB7" w14:textId="77777777" w:rsidR="00E134BC" w:rsidRDefault="00E134BC" w:rsidP="008D745F">
      <w:pPr>
        <w:rPr>
          <w:b/>
          <w:lang w:val="en-GB"/>
        </w:rPr>
      </w:pPr>
      <w:r>
        <w:rPr>
          <w:lang w:val="en-GB"/>
        </w:rPr>
        <w:fldChar w:fldCharType="end"/>
      </w:r>
      <w:r w:rsidR="00C82A30">
        <w:rPr>
          <w:lang w:val="en-GB"/>
        </w:rPr>
        <w:fldChar w:fldCharType="begin"/>
      </w:r>
      <w:r w:rsidR="00C82A30">
        <w:rPr>
          <w:lang w:val="en-GB"/>
        </w:rPr>
        <w:instrText xml:space="preserve"> REF p4 \h </w:instrText>
      </w:r>
      <w:r w:rsidR="00C82A30">
        <w:rPr>
          <w:lang w:val="en-GB"/>
        </w:rPr>
      </w:r>
      <w:r w:rsidR="00C82A30">
        <w:rPr>
          <w:lang w:val="en-GB"/>
        </w:rPr>
        <w:fldChar w:fldCharType="separate"/>
      </w:r>
      <w:r>
        <w:rPr>
          <w:b/>
          <w:lang w:val="en-GB"/>
        </w:rPr>
        <w:t xml:space="preserve">Observation </w:t>
      </w:r>
      <w:r>
        <w:rPr>
          <w:b/>
          <w:noProof/>
          <w:lang w:val="en-GB"/>
        </w:rPr>
        <w:t>2</w:t>
      </w:r>
      <w:r>
        <w:rPr>
          <w:b/>
          <w:lang w:val="en-GB"/>
        </w:rPr>
        <w:t>: For CBG-based PDSCH transmission, either a highly reliable CBG A/N is fed back, or some type of CBG A/N confirmation mechanism is needed to avoid error propagation.</w:t>
      </w:r>
    </w:p>
    <w:p w14:paraId="20972ECC" w14:textId="7A9979B7" w:rsidR="00C82A30" w:rsidRDefault="00C82A30" w:rsidP="006C2EC2">
      <w:pPr>
        <w:rPr>
          <w:lang w:val="en-GB"/>
        </w:rPr>
      </w:pPr>
      <w:r>
        <w:rPr>
          <w:lang w:val="en-GB"/>
        </w:rPr>
        <w:fldChar w:fldCharType="end"/>
      </w:r>
    </w:p>
    <w:p w14:paraId="0117461B" w14:textId="77777777" w:rsidR="00C77113" w:rsidRPr="00526653" w:rsidRDefault="00C77113" w:rsidP="00FD3822">
      <w:pPr>
        <w:jc w:val="center"/>
        <w:rPr>
          <w:lang w:val="en-GB"/>
        </w:rPr>
      </w:pPr>
    </w:p>
    <w:sectPr w:rsidR="00C77113" w:rsidRPr="00526653" w:rsidSect="00E054B7">
      <w:headerReference w:type="even" r:id="rId19"/>
      <w:footerReference w:type="even" r:id="rId20"/>
      <w:footerReference w:type="default" r:id="rId2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B6EFA5" w14:textId="77777777" w:rsidR="00D42F95" w:rsidRDefault="00D42F95">
      <w:r>
        <w:separator/>
      </w:r>
    </w:p>
  </w:endnote>
  <w:endnote w:type="continuationSeparator" w:id="0">
    <w:p w14:paraId="02008EA6" w14:textId="77777777" w:rsidR="00D42F95" w:rsidRDefault="00D42F95">
      <w:r>
        <w:continuationSeparator/>
      </w:r>
    </w:p>
  </w:endnote>
  <w:endnote w:type="continuationNotice" w:id="1">
    <w:p w14:paraId="7983F3D7" w14:textId="77777777" w:rsidR="00D42F95" w:rsidRDefault="00D42F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823873" w14:textId="77777777" w:rsidR="00CF76CB" w:rsidRDefault="00CF76C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CF76CB" w:rsidRDefault="00CF76C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79E23B" w14:textId="23A2B872" w:rsidR="00CF76CB" w:rsidRDefault="00CF76C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0434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0434A">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1DCDCD" w14:textId="77777777" w:rsidR="00D42F95" w:rsidRDefault="00D42F95">
      <w:r>
        <w:separator/>
      </w:r>
    </w:p>
  </w:footnote>
  <w:footnote w:type="continuationSeparator" w:id="0">
    <w:p w14:paraId="4EAC5A8E" w14:textId="77777777" w:rsidR="00D42F95" w:rsidRDefault="00D42F95">
      <w:r>
        <w:continuationSeparator/>
      </w:r>
    </w:p>
  </w:footnote>
  <w:footnote w:type="continuationNotice" w:id="1">
    <w:p w14:paraId="3002DBB8" w14:textId="77777777" w:rsidR="00D42F95" w:rsidRDefault="00D42F9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2188DA" w14:textId="77777777" w:rsidR="00CF76CB" w:rsidRDefault="00CF76C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5EE36D0"/>
    <w:multiLevelType w:val="hybridMultilevel"/>
    <w:tmpl w:val="0A3E5DB2"/>
    <w:lvl w:ilvl="0" w:tplc="D6087684">
      <w:start w:val="1"/>
      <w:numFmt w:val="bullet"/>
      <w:lvlText w:val="•"/>
      <w:lvlJc w:val="left"/>
      <w:pPr>
        <w:tabs>
          <w:tab w:val="num" w:pos="720"/>
        </w:tabs>
        <w:ind w:left="720" w:hanging="360"/>
      </w:pPr>
      <w:rPr>
        <w:rFonts w:ascii="Arial" w:hAnsi="Arial" w:hint="default"/>
      </w:rPr>
    </w:lvl>
    <w:lvl w:ilvl="1" w:tplc="2422A86A">
      <w:start w:val="1191"/>
      <w:numFmt w:val="bullet"/>
      <w:lvlText w:val="–"/>
      <w:lvlJc w:val="left"/>
      <w:pPr>
        <w:tabs>
          <w:tab w:val="num" w:pos="1440"/>
        </w:tabs>
        <w:ind w:left="1440" w:hanging="360"/>
      </w:pPr>
      <w:rPr>
        <w:rFonts w:ascii="Arial" w:hAnsi="Arial" w:hint="default"/>
      </w:rPr>
    </w:lvl>
    <w:lvl w:ilvl="2" w:tplc="942839E0" w:tentative="1">
      <w:start w:val="1"/>
      <w:numFmt w:val="bullet"/>
      <w:lvlText w:val="•"/>
      <w:lvlJc w:val="left"/>
      <w:pPr>
        <w:tabs>
          <w:tab w:val="num" w:pos="2160"/>
        </w:tabs>
        <w:ind w:left="2160" w:hanging="360"/>
      </w:pPr>
      <w:rPr>
        <w:rFonts w:ascii="Arial" w:hAnsi="Arial" w:hint="default"/>
      </w:rPr>
    </w:lvl>
    <w:lvl w:ilvl="3" w:tplc="C3645E40" w:tentative="1">
      <w:start w:val="1"/>
      <w:numFmt w:val="bullet"/>
      <w:lvlText w:val="•"/>
      <w:lvlJc w:val="left"/>
      <w:pPr>
        <w:tabs>
          <w:tab w:val="num" w:pos="2880"/>
        </w:tabs>
        <w:ind w:left="2880" w:hanging="360"/>
      </w:pPr>
      <w:rPr>
        <w:rFonts w:ascii="Arial" w:hAnsi="Arial" w:hint="default"/>
      </w:rPr>
    </w:lvl>
    <w:lvl w:ilvl="4" w:tplc="3432C9F8" w:tentative="1">
      <w:start w:val="1"/>
      <w:numFmt w:val="bullet"/>
      <w:lvlText w:val="•"/>
      <w:lvlJc w:val="left"/>
      <w:pPr>
        <w:tabs>
          <w:tab w:val="num" w:pos="3600"/>
        </w:tabs>
        <w:ind w:left="3600" w:hanging="360"/>
      </w:pPr>
      <w:rPr>
        <w:rFonts w:ascii="Arial" w:hAnsi="Arial" w:hint="default"/>
      </w:rPr>
    </w:lvl>
    <w:lvl w:ilvl="5" w:tplc="D700CF54" w:tentative="1">
      <w:start w:val="1"/>
      <w:numFmt w:val="bullet"/>
      <w:lvlText w:val="•"/>
      <w:lvlJc w:val="left"/>
      <w:pPr>
        <w:tabs>
          <w:tab w:val="num" w:pos="4320"/>
        </w:tabs>
        <w:ind w:left="4320" w:hanging="360"/>
      </w:pPr>
      <w:rPr>
        <w:rFonts w:ascii="Arial" w:hAnsi="Arial" w:hint="default"/>
      </w:rPr>
    </w:lvl>
    <w:lvl w:ilvl="6" w:tplc="81FE6850" w:tentative="1">
      <w:start w:val="1"/>
      <w:numFmt w:val="bullet"/>
      <w:lvlText w:val="•"/>
      <w:lvlJc w:val="left"/>
      <w:pPr>
        <w:tabs>
          <w:tab w:val="num" w:pos="5040"/>
        </w:tabs>
        <w:ind w:left="5040" w:hanging="360"/>
      </w:pPr>
      <w:rPr>
        <w:rFonts w:ascii="Arial" w:hAnsi="Arial" w:hint="default"/>
      </w:rPr>
    </w:lvl>
    <w:lvl w:ilvl="7" w:tplc="40601260" w:tentative="1">
      <w:start w:val="1"/>
      <w:numFmt w:val="bullet"/>
      <w:lvlText w:val="•"/>
      <w:lvlJc w:val="left"/>
      <w:pPr>
        <w:tabs>
          <w:tab w:val="num" w:pos="5760"/>
        </w:tabs>
        <w:ind w:left="5760" w:hanging="360"/>
      </w:pPr>
      <w:rPr>
        <w:rFonts w:ascii="Arial" w:hAnsi="Arial" w:hint="default"/>
      </w:rPr>
    </w:lvl>
    <w:lvl w:ilvl="8" w:tplc="5AE8002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24D13"/>
    <w:multiLevelType w:val="hybridMultilevel"/>
    <w:tmpl w:val="128E4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4D3567"/>
    <w:multiLevelType w:val="hybridMultilevel"/>
    <w:tmpl w:val="DFC8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F70C9F"/>
    <w:multiLevelType w:val="hybridMultilevel"/>
    <w:tmpl w:val="B652D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3F0817"/>
    <w:multiLevelType w:val="hybridMultilevel"/>
    <w:tmpl w:val="03ECC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0484F"/>
    <w:multiLevelType w:val="hybridMultilevel"/>
    <w:tmpl w:val="7B2838DC"/>
    <w:lvl w:ilvl="0" w:tplc="AE903F2A">
      <w:start w:val="1"/>
      <w:numFmt w:val="bullet"/>
      <w:pStyle w:val="bullet"/>
      <w:lvlText w:val=""/>
      <w:lvlJc w:val="left"/>
      <w:pPr>
        <w:ind w:left="2952" w:hanging="360"/>
      </w:pPr>
      <w:rPr>
        <w:rFonts w:ascii="Symbol" w:hAnsi="Symbol" w:hint="default"/>
      </w:rPr>
    </w:lvl>
    <w:lvl w:ilvl="1" w:tplc="04090003">
      <w:start w:val="1"/>
      <w:numFmt w:val="bullet"/>
      <w:lvlText w:val="o"/>
      <w:lvlJc w:val="left"/>
      <w:pPr>
        <w:ind w:left="3776" w:hanging="360"/>
      </w:pPr>
      <w:rPr>
        <w:rFonts w:ascii="Courier New" w:hAnsi="Courier New" w:cs="Courier New" w:hint="default"/>
      </w:rPr>
    </w:lvl>
    <w:lvl w:ilvl="2" w:tplc="04090005" w:tentative="1">
      <w:start w:val="1"/>
      <w:numFmt w:val="bullet"/>
      <w:lvlText w:val=""/>
      <w:lvlJc w:val="left"/>
      <w:pPr>
        <w:ind w:left="4496" w:hanging="360"/>
      </w:pPr>
      <w:rPr>
        <w:rFonts w:ascii="Wingdings" w:hAnsi="Wingdings" w:hint="default"/>
      </w:rPr>
    </w:lvl>
    <w:lvl w:ilvl="3" w:tplc="04090001" w:tentative="1">
      <w:start w:val="1"/>
      <w:numFmt w:val="bullet"/>
      <w:lvlText w:val=""/>
      <w:lvlJc w:val="left"/>
      <w:pPr>
        <w:ind w:left="5216" w:hanging="360"/>
      </w:pPr>
      <w:rPr>
        <w:rFonts w:ascii="Symbol" w:hAnsi="Symbol" w:hint="default"/>
      </w:rPr>
    </w:lvl>
    <w:lvl w:ilvl="4" w:tplc="04090003" w:tentative="1">
      <w:start w:val="1"/>
      <w:numFmt w:val="bullet"/>
      <w:lvlText w:val="o"/>
      <w:lvlJc w:val="left"/>
      <w:pPr>
        <w:ind w:left="5936" w:hanging="360"/>
      </w:pPr>
      <w:rPr>
        <w:rFonts w:ascii="Courier New" w:hAnsi="Courier New" w:cs="Courier New" w:hint="default"/>
      </w:rPr>
    </w:lvl>
    <w:lvl w:ilvl="5" w:tplc="04090005" w:tentative="1">
      <w:start w:val="1"/>
      <w:numFmt w:val="bullet"/>
      <w:lvlText w:val=""/>
      <w:lvlJc w:val="left"/>
      <w:pPr>
        <w:ind w:left="6656" w:hanging="360"/>
      </w:pPr>
      <w:rPr>
        <w:rFonts w:ascii="Wingdings" w:hAnsi="Wingdings" w:hint="default"/>
      </w:rPr>
    </w:lvl>
    <w:lvl w:ilvl="6" w:tplc="04090001" w:tentative="1">
      <w:start w:val="1"/>
      <w:numFmt w:val="bullet"/>
      <w:lvlText w:val=""/>
      <w:lvlJc w:val="left"/>
      <w:pPr>
        <w:ind w:left="7376" w:hanging="360"/>
      </w:pPr>
      <w:rPr>
        <w:rFonts w:ascii="Symbol" w:hAnsi="Symbol" w:hint="default"/>
      </w:rPr>
    </w:lvl>
    <w:lvl w:ilvl="7" w:tplc="04090003" w:tentative="1">
      <w:start w:val="1"/>
      <w:numFmt w:val="bullet"/>
      <w:lvlText w:val="o"/>
      <w:lvlJc w:val="left"/>
      <w:pPr>
        <w:ind w:left="8096" w:hanging="360"/>
      </w:pPr>
      <w:rPr>
        <w:rFonts w:ascii="Courier New" w:hAnsi="Courier New" w:cs="Courier New" w:hint="default"/>
      </w:rPr>
    </w:lvl>
    <w:lvl w:ilvl="8" w:tplc="04090005" w:tentative="1">
      <w:start w:val="1"/>
      <w:numFmt w:val="bullet"/>
      <w:lvlText w:val=""/>
      <w:lvlJc w:val="left"/>
      <w:pPr>
        <w:ind w:left="8816" w:hanging="360"/>
      </w:pPr>
      <w:rPr>
        <w:rFonts w:ascii="Wingdings" w:hAnsi="Wingdings" w:hint="default"/>
      </w:rPr>
    </w:lvl>
  </w:abstractNum>
  <w:abstractNum w:abstractNumId="9" w15:restartNumberingAfterBreak="0">
    <w:nsid w:val="20201F47"/>
    <w:multiLevelType w:val="hybridMultilevel"/>
    <w:tmpl w:val="19D8B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D3538"/>
    <w:multiLevelType w:val="hybridMultilevel"/>
    <w:tmpl w:val="10A6F5EA"/>
    <w:lvl w:ilvl="0" w:tplc="AFEA194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794BF4"/>
    <w:multiLevelType w:val="hybridMultilevel"/>
    <w:tmpl w:val="772EB728"/>
    <w:lvl w:ilvl="0" w:tplc="A8507C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C06255"/>
    <w:multiLevelType w:val="hybridMultilevel"/>
    <w:tmpl w:val="92BEF55E"/>
    <w:lvl w:ilvl="0" w:tplc="FD8226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D607E5"/>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94B5C1A"/>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9C4592"/>
    <w:multiLevelType w:val="hybridMultilevel"/>
    <w:tmpl w:val="4B348EC8"/>
    <w:lvl w:ilvl="0" w:tplc="23305DD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362A31"/>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DF7316"/>
    <w:multiLevelType w:val="hybridMultilevel"/>
    <w:tmpl w:val="D3AAC820"/>
    <w:lvl w:ilvl="0" w:tplc="385A245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3AE6920"/>
    <w:multiLevelType w:val="hybridMultilevel"/>
    <w:tmpl w:val="94A27034"/>
    <w:lvl w:ilvl="0" w:tplc="D182E2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4BA05F7"/>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C32E01"/>
    <w:multiLevelType w:val="hybridMultilevel"/>
    <w:tmpl w:val="2CBC7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8A57F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FF240FA"/>
    <w:multiLevelType w:val="hybridMultilevel"/>
    <w:tmpl w:val="ED047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6B118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2442E9"/>
    <w:multiLevelType w:val="hybridMultilevel"/>
    <w:tmpl w:val="5A8E6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4877F4"/>
    <w:multiLevelType w:val="hybridMultilevel"/>
    <w:tmpl w:val="3280CA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5B620769"/>
    <w:multiLevelType w:val="hybridMultilevel"/>
    <w:tmpl w:val="CCDEF940"/>
    <w:lvl w:ilvl="0" w:tplc="4D2CF2E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2C4C67"/>
    <w:multiLevelType w:val="hybridMultilevel"/>
    <w:tmpl w:val="FC9EF5E2"/>
    <w:lvl w:ilvl="0" w:tplc="6B00516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3852CF6"/>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CC00CE"/>
    <w:multiLevelType w:val="hybridMultilevel"/>
    <w:tmpl w:val="560EE2CA"/>
    <w:lvl w:ilvl="0" w:tplc="07F23E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4C452C"/>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D167D39"/>
    <w:multiLevelType w:val="hybridMultilevel"/>
    <w:tmpl w:val="090EB8D6"/>
    <w:lvl w:ilvl="0" w:tplc="5C9EB48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F04144E"/>
    <w:multiLevelType w:val="hybridMultilevel"/>
    <w:tmpl w:val="3654BE4C"/>
    <w:lvl w:ilvl="0" w:tplc="F47011B8">
      <w:start w:val="1"/>
      <w:numFmt w:val="bullet"/>
      <w:lvlText w:val="–"/>
      <w:lvlJc w:val="left"/>
      <w:pPr>
        <w:tabs>
          <w:tab w:val="num" w:pos="360"/>
        </w:tabs>
        <w:ind w:left="360" w:hanging="360"/>
      </w:pPr>
      <w:rPr>
        <w:rFonts w:ascii="MS PGothic" w:hAnsi="MS PGothic" w:hint="default"/>
      </w:rPr>
    </w:lvl>
    <w:lvl w:ilvl="1" w:tplc="2B82804E">
      <w:start w:val="1"/>
      <w:numFmt w:val="bullet"/>
      <w:lvlText w:val="–"/>
      <w:lvlJc w:val="left"/>
      <w:pPr>
        <w:tabs>
          <w:tab w:val="num" w:pos="1080"/>
        </w:tabs>
        <w:ind w:left="1080" w:hanging="360"/>
      </w:pPr>
      <w:rPr>
        <w:rFonts w:ascii="MS PGothic" w:hAnsi="MS PGothic" w:hint="default"/>
      </w:rPr>
    </w:lvl>
    <w:lvl w:ilvl="2" w:tplc="A862473C">
      <w:start w:val="1934"/>
      <w:numFmt w:val="bullet"/>
      <w:lvlText w:val="•"/>
      <w:lvlJc w:val="left"/>
      <w:pPr>
        <w:tabs>
          <w:tab w:val="num" w:pos="1800"/>
        </w:tabs>
        <w:ind w:left="1800" w:hanging="360"/>
      </w:pPr>
      <w:rPr>
        <w:rFonts w:ascii="MS PGothic" w:hAnsi="MS PGothic" w:hint="default"/>
      </w:rPr>
    </w:lvl>
    <w:lvl w:ilvl="3" w:tplc="497CA8A6">
      <w:start w:val="1934"/>
      <w:numFmt w:val="bullet"/>
      <w:lvlText w:val="–"/>
      <w:lvlJc w:val="left"/>
      <w:pPr>
        <w:tabs>
          <w:tab w:val="num" w:pos="2520"/>
        </w:tabs>
        <w:ind w:left="2520" w:hanging="360"/>
      </w:pPr>
      <w:rPr>
        <w:rFonts w:ascii="MS PGothic" w:hAnsi="MS PGothic" w:hint="default"/>
      </w:rPr>
    </w:lvl>
    <w:lvl w:ilvl="4" w:tplc="5B5EAB26" w:tentative="1">
      <w:start w:val="1"/>
      <w:numFmt w:val="bullet"/>
      <w:lvlText w:val="–"/>
      <w:lvlJc w:val="left"/>
      <w:pPr>
        <w:tabs>
          <w:tab w:val="num" w:pos="3240"/>
        </w:tabs>
        <w:ind w:left="3240" w:hanging="360"/>
      </w:pPr>
      <w:rPr>
        <w:rFonts w:ascii="MS PGothic" w:hAnsi="MS PGothic" w:hint="default"/>
      </w:rPr>
    </w:lvl>
    <w:lvl w:ilvl="5" w:tplc="49F49692" w:tentative="1">
      <w:start w:val="1"/>
      <w:numFmt w:val="bullet"/>
      <w:lvlText w:val="–"/>
      <w:lvlJc w:val="left"/>
      <w:pPr>
        <w:tabs>
          <w:tab w:val="num" w:pos="3960"/>
        </w:tabs>
        <w:ind w:left="3960" w:hanging="360"/>
      </w:pPr>
      <w:rPr>
        <w:rFonts w:ascii="MS PGothic" w:hAnsi="MS PGothic" w:hint="default"/>
      </w:rPr>
    </w:lvl>
    <w:lvl w:ilvl="6" w:tplc="F040654E" w:tentative="1">
      <w:start w:val="1"/>
      <w:numFmt w:val="bullet"/>
      <w:lvlText w:val="–"/>
      <w:lvlJc w:val="left"/>
      <w:pPr>
        <w:tabs>
          <w:tab w:val="num" w:pos="4680"/>
        </w:tabs>
        <w:ind w:left="4680" w:hanging="360"/>
      </w:pPr>
      <w:rPr>
        <w:rFonts w:ascii="MS PGothic" w:hAnsi="MS PGothic" w:hint="default"/>
      </w:rPr>
    </w:lvl>
    <w:lvl w:ilvl="7" w:tplc="F4CA95F0" w:tentative="1">
      <w:start w:val="1"/>
      <w:numFmt w:val="bullet"/>
      <w:lvlText w:val="–"/>
      <w:lvlJc w:val="left"/>
      <w:pPr>
        <w:tabs>
          <w:tab w:val="num" w:pos="5400"/>
        </w:tabs>
        <w:ind w:left="5400" w:hanging="360"/>
      </w:pPr>
      <w:rPr>
        <w:rFonts w:ascii="MS PGothic" w:hAnsi="MS PGothic" w:hint="default"/>
      </w:rPr>
    </w:lvl>
    <w:lvl w:ilvl="8" w:tplc="B07E4078" w:tentative="1">
      <w:start w:val="1"/>
      <w:numFmt w:val="bullet"/>
      <w:lvlText w:val="–"/>
      <w:lvlJc w:val="left"/>
      <w:pPr>
        <w:tabs>
          <w:tab w:val="num" w:pos="6120"/>
        </w:tabs>
        <w:ind w:left="6120" w:hanging="360"/>
      </w:pPr>
      <w:rPr>
        <w:rFonts w:ascii="MS PGothic" w:hAnsi="MS PGothic" w:hint="default"/>
      </w:rPr>
    </w:lvl>
  </w:abstractNum>
  <w:num w:numId="1">
    <w:abstractNumId w:val="16"/>
  </w:num>
  <w:num w:numId="2">
    <w:abstractNumId w:val="3"/>
  </w:num>
  <w:num w:numId="3">
    <w:abstractNumId w:val="25"/>
  </w:num>
  <w:num w:numId="4">
    <w:abstractNumId w:val="2"/>
  </w:num>
  <w:num w:numId="5">
    <w:abstractNumId w:val="12"/>
  </w:num>
  <w:num w:numId="6">
    <w:abstractNumId w:val="38"/>
  </w:num>
  <w:num w:numId="7">
    <w:abstractNumId w:val="18"/>
  </w:num>
  <w:num w:numId="8">
    <w:abstractNumId w:val="20"/>
  </w:num>
  <w:num w:numId="9">
    <w:abstractNumId w:val="17"/>
  </w:num>
  <w:num w:numId="10">
    <w:abstractNumId w:val="32"/>
  </w:num>
  <w:num w:numId="11">
    <w:abstractNumId w:val="5"/>
  </w:num>
  <w:num w:numId="12">
    <w:abstractNumId w:val="13"/>
  </w:num>
  <w:num w:numId="13">
    <w:abstractNumId w:val="7"/>
  </w:num>
  <w:num w:numId="14">
    <w:abstractNumId w:val="9"/>
  </w:num>
  <w:num w:numId="15">
    <w:abstractNumId w:val="27"/>
  </w:num>
  <w:num w:numId="16">
    <w:abstractNumId w:val="30"/>
  </w:num>
  <w:num w:numId="17">
    <w:abstractNumId w:val="11"/>
  </w:num>
  <w:num w:numId="18">
    <w:abstractNumId w:val="39"/>
  </w:num>
  <w:num w:numId="19">
    <w:abstractNumId w:val="28"/>
  </w:num>
  <w:num w:numId="20">
    <w:abstractNumId w:val="31"/>
  </w:num>
  <w:num w:numId="21">
    <w:abstractNumId w:val="10"/>
  </w:num>
  <w:num w:numId="22">
    <w:abstractNumId w:val="36"/>
  </w:num>
  <w:num w:numId="23">
    <w:abstractNumId w:val="35"/>
  </w:num>
  <w:num w:numId="24">
    <w:abstractNumId w:val="22"/>
  </w:num>
  <w:num w:numId="25">
    <w:abstractNumId w:val="0"/>
  </w:num>
  <w:num w:numId="26">
    <w:abstractNumId w:val="4"/>
  </w:num>
  <w:num w:numId="27">
    <w:abstractNumId w:val="34"/>
  </w:num>
  <w:num w:numId="28">
    <w:abstractNumId w:val="23"/>
  </w:num>
  <w:num w:numId="29">
    <w:abstractNumId w:val="19"/>
  </w:num>
  <w:num w:numId="30">
    <w:abstractNumId w:val="29"/>
  </w:num>
  <w:num w:numId="31">
    <w:abstractNumId w:val="42"/>
  </w:num>
  <w:num w:numId="32">
    <w:abstractNumId w:val="6"/>
  </w:num>
  <w:num w:numId="33">
    <w:abstractNumId w:val="41"/>
  </w:num>
  <w:num w:numId="34">
    <w:abstractNumId w:val="8"/>
  </w:num>
  <w:num w:numId="35">
    <w:abstractNumId w:val="8"/>
  </w:num>
  <w:num w:numId="36">
    <w:abstractNumId w:val="33"/>
  </w:num>
  <w:num w:numId="37">
    <w:abstractNumId w:val="26"/>
  </w:num>
  <w:num w:numId="38">
    <w:abstractNumId w:val="21"/>
  </w:num>
  <w:num w:numId="39">
    <w:abstractNumId w:val="40"/>
  </w:num>
  <w:num w:numId="40">
    <w:abstractNumId w:val="24"/>
  </w:num>
  <w:num w:numId="41">
    <w:abstractNumId w:val="15"/>
  </w:num>
  <w:num w:numId="42">
    <w:abstractNumId w:val="37"/>
  </w:num>
  <w:num w:numId="43">
    <w:abstractNumId w:val="14"/>
  </w:num>
  <w:num w:numId="44">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F5D"/>
    <w:rsid w:val="000129BA"/>
    <w:rsid w:val="000135FF"/>
    <w:rsid w:val="000136A3"/>
    <w:rsid w:val="0001441C"/>
    <w:rsid w:val="00014DD7"/>
    <w:rsid w:val="00014E0B"/>
    <w:rsid w:val="00015530"/>
    <w:rsid w:val="00015923"/>
    <w:rsid w:val="00015962"/>
    <w:rsid w:val="000162B2"/>
    <w:rsid w:val="000164DE"/>
    <w:rsid w:val="00016B4C"/>
    <w:rsid w:val="00017013"/>
    <w:rsid w:val="00017047"/>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2E45"/>
    <w:rsid w:val="00033796"/>
    <w:rsid w:val="000349B7"/>
    <w:rsid w:val="000349E0"/>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782"/>
    <w:rsid w:val="00053A47"/>
    <w:rsid w:val="00054F5A"/>
    <w:rsid w:val="00055B35"/>
    <w:rsid w:val="0005602E"/>
    <w:rsid w:val="00056057"/>
    <w:rsid w:val="000565AE"/>
    <w:rsid w:val="000570A3"/>
    <w:rsid w:val="000570E2"/>
    <w:rsid w:val="0005759C"/>
    <w:rsid w:val="00057F6C"/>
    <w:rsid w:val="00060BE0"/>
    <w:rsid w:val="00060D34"/>
    <w:rsid w:val="00060FDB"/>
    <w:rsid w:val="000612C5"/>
    <w:rsid w:val="00062963"/>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0C9"/>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3582"/>
    <w:rsid w:val="00094EF2"/>
    <w:rsid w:val="0009559C"/>
    <w:rsid w:val="0009709B"/>
    <w:rsid w:val="000A0D72"/>
    <w:rsid w:val="000A0E34"/>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C0866"/>
    <w:rsid w:val="000C0CA3"/>
    <w:rsid w:val="000C0CEC"/>
    <w:rsid w:val="000C0D3F"/>
    <w:rsid w:val="000C1C35"/>
    <w:rsid w:val="000C22F2"/>
    <w:rsid w:val="000C2391"/>
    <w:rsid w:val="000C2394"/>
    <w:rsid w:val="000C29C0"/>
    <w:rsid w:val="000C2CAD"/>
    <w:rsid w:val="000C2DC9"/>
    <w:rsid w:val="000C3BEC"/>
    <w:rsid w:val="000C40EA"/>
    <w:rsid w:val="000C45FF"/>
    <w:rsid w:val="000C6447"/>
    <w:rsid w:val="000C6E64"/>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64D"/>
    <w:rsid w:val="000E5830"/>
    <w:rsid w:val="000E593B"/>
    <w:rsid w:val="000E65A7"/>
    <w:rsid w:val="000E6716"/>
    <w:rsid w:val="000E68F8"/>
    <w:rsid w:val="000E6D5F"/>
    <w:rsid w:val="000E6F62"/>
    <w:rsid w:val="000E76B5"/>
    <w:rsid w:val="000E7D9C"/>
    <w:rsid w:val="000F02E7"/>
    <w:rsid w:val="000F0CCA"/>
    <w:rsid w:val="000F1313"/>
    <w:rsid w:val="000F15E6"/>
    <w:rsid w:val="000F1CF3"/>
    <w:rsid w:val="000F2944"/>
    <w:rsid w:val="000F2AD9"/>
    <w:rsid w:val="000F4734"/>
    <w:rsid w:val="000F4F44"/>
    <w:rsid w:val="000F6974"/>
    <w:rsid w:val="000F6AFA"/>
    <w:rsid w:val="000F7452"/>
    <w:rsid w:val="000F794D"/>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B51"/>
    <w:rsid w:val="00117957"/>
    <w:rsid w:val="00117C13"/>
    <w:rsid w:val="00120545"/>
    <w:rsid w:val="00121412"/>
    <w:rsid w:val="00123993"/>
    <w:rsid w:val="0012467D"/>
    <w:rsid w:val="00124A01"/>
    <w:rsid w:val="00124D4C"/>
    <w:rsid w:val="00125039"/>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399A"/>
    <w:rsid w:val="001344C1"/>
    <w:rsid w:val="0013521B"/>
    <w:rsid w:val="00135829"/>
    <w:rsid w:val="001358F4"/>
    <w:rsid w:val="00135911"/>
    <w:rsid w:val="00135E0A"/>
    <w:rsid w:val="0013612A"/>
    <w:rsid w:val="00136359"/>
    <w:rsid w:val="00136AAD"/>
    <w:rsid w:val="00136EED"/>
    <w:rsid w:val="00137280"/>
    <w:rsid w:val="00137288"/>
    <w:rsid w:val="00137480"/>
    <w:rsid w:val="0014082B"/>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577"/>
    <w:rsid w:val="00150616"/>
    <w:rsid w:val="00151516"/>
    <w:rsid w:val="00151805"/>
    <w:rsid w:val="00151D5F"/>
    <w:rsid w:val="001529E0"/>
    <w:rsid w:val="00152BA8"/>
    <w:rsid w:val="00153A6B"/>
    <w:rsid w:val="00153E38"/>
    <w:rsid w:val="001544AB"/>
    <w:rsid w:val="0015452C"/>
    <w:rsid w:val="00154BE2"/>
    <w:rsid w:val="00155732"/>
    <w:rsid w:val="00155E24"/>
    <w:rsid w:val="001560ED"/>
    <w:rsid w:val="001563F1"/>
    <w:rsid w:val="00156E79"/>
    <w:rsid w:val="001572A5"/>
    <w:rsid w:val="0015737A"/>
    <w:rsid w:val="00157847"/>
    <w:rsid w:val="00160786"/>
    <w:rsid w:val="00160A67"/>
    <w:rsid w:val="00161AEB"/>
    <w:rsid w:val="00162262"/>
    <w:rsid w:val="00162BD5"/>
    <w:rsid w:val="001630E4"/>
    <w:rsid w:val="001639BC"/>
    <w:rsid w:val="0016465B"/>
    <w:rsid w:val="001647FA"/>
    <w:rsid w:val="00166868"/>
    <w:rsid w:val="001669CF"/>
    <w:rsid w:val="00167857"/>
    <w:rsid w:val="00167C50"/>
    <w:rsid w:val="00167ECA"/>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5E59"/>
    <w:rsid w:val="001907C8"/>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2B58"/>
    <w:rsid w:val="001A3BAB"/>
    <w:rsid w:val="001A3FA5"/>
    <w:rsid w:val="001A4334"/>
    <w:rsid w:val="001A4439"/>
    <w:rsid w:val="001A5517"/>
    <w:rsid w:val="001A600A"/>
    <w:rsid w:val="001A65A6"/>
    <w:rsid w:val="001A6EA1"/>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E04"/>
    <w:rsid w:val="001B5332"/>
    <w:rsid w:val="001B6D3D"/>
    <w:rsid w:val="001B70CF"/>
    <w:rsid w:val="001B78D5"/>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87A"/>
    <w:rsid w:val="001D2E6C"/>
    <w:rsid w:val="001D333B"/>
    <w:rsid w:val="001D506F"/>
    <w:rsid w:val="001D57BC"/>
    <w:rsid w:val="001D59DC"/>
    <w:rsid w:val="001D6EEB"/>
    <w:rsid w:val="001D6F30"/>
    <w:rsid w:val="001D7260"/>
    <w:rsid w:val="001D7816"/>
    <w:rsid w:val="001D784C"/>
    <w:rsid w:val="001D7B96"/>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33"/>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8BF"/>
    <w:rsid w:val="00214E0D"/>
    <w:rsid w:val="0021517F"/>
    <w:rsid w:val="002159DE"/>
    <w:rsid w:val="002165F9"/>
    <w:rsid w:val="00216685"/>
    <w:rsid w:val="00217206"/>
    <w:rsid w:val="00217441"/>
    <w:rsid w:val="002202EC"/>
    <w:rsid w:val="00221C5D"/>
    <w:rsid w:val="002226B5"/>
    <w:rsid w:val="00222DEC"/>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2284"/>
    <w:rsid w:val="00242C9E"/>
    <w:rsid w:val="0024353D"/>
    <w:rsid w:val="00243ACD"/>
    <w:rsid w:val="00244924"/>
    <w:rsid w:val="00244DF7"/>
    <w:rsid w:val="0024511F"/>
    <w:rsid w:val="00245492"/>
    <w:rsid w:val="00246C52"/>
    <w:rsid w:val="0024718C"/>
    <w:rsid w:val="00247627"/>
    <w:rsid w:val="00247A70"/>
    <w:rsid w:val="002512A9"/>
    <w:rsid w:val="0025153E"/>
    <w:rsid w:val="0025169E"/>
    <w:rsid w:val="00251929"/>
    <w:rsid w:val="00251F5E"/>
    <w:rsid w:val="0025281D"/>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074B"/>
    <w:rsid w:val="002727C8"/>
    <w:rsid w:val="00272FEB"/>
    <w:rsid w:val="002738C9"/>
    <w:rsid w:val="00273B2D"/>
    <w:rsid w:val="00273CF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06E"/>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5C43"/>
    <w:rsid w:val="0029639B"/>
    <w:rsid w:val="00296FD8"/>
    <w:rsid w:val="0029743A"/>
    <w:rsid w:val="00297DBE"/>
    <w:rsid w:val="002A0724"/>
    <w:rsid w:val="002A07C1"/>
    <w:rsid w:val="002A08EC"/>
    <w:rsid w:val="002A0B89"/>
    <w:rsid w:val="002A1DF0"/>
    <w:rsid w:val="002A205B"/>
    <w:rsid w:val="002A3668"/>
    <w:rsid w:val="002A53DF"/>
    <w:rsid w:val="002B03CD"/>
    <w:rsid w:val="002B07BF"/>
    <w:rsid w:val="002B0805"/>
    <w:rsid w:val="002B0FD5"/>
    <w:rsid w:val="002B11A0"/>
    <w:rsid w:val="002B26D2"/>
    <w:rsid w:val="002B2C92"/>
    <w:rsid w:val="002B318B"/>
    <w:rsid w:val="002B3BD3"/>
    <w:rsid w:val="002B3D90"/>
    <w:rsid w:val="002B475D"/>
    <w:rsid w:val="002B4B75"/>
    <w:rsid w:val="002B4FE2"/>
    <w:rsid w:val="002B7AD3"/>
    <w:rsid w:val="002B7C8F"/>
    <w:rsid w:val="002B7FB1"/>
    <w:rsid w:val="002C0364"/>
    <w:rsid w:val="002C0397"/>
    <w:rsid w:val="002C0779"/>
    <w:rsid w:val="002C138C"/>
    <w:rsid w:val="002C203A"/>
    <w:rsid w:val="002C2FCD"/>
    <w:rsid w:val="002C36BB"/>
    <w:rsid w:val="002C3AE4"/>
    <w:rsid w:val="002C4749"/>
    <w:rsid w:val="002C4CB7"/>
    <w:rsid w:val="002C5620"/>
    <w:rsid w:val="002C57BB"/>
    <w:rsid w:val="002C61E0"/>
    <w:rsid w:val="002C6221"/>
    <w:rsid w:val="002C6374"/>
    <w:rsid w:val="002C7B03"/>
    <w:rsid w:val="002D0657"/>
    <w:rsid w:val="002D08DC"/>
    <w:rsid w:val="002D13B7"/>
    <w:rsid w:val="002D20FC"/>
    <w:rsid w:val="002D26FA"/>
    <w:rsid w:val="002D2B4E"/>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90"/>
    <w:rsid w:val="002F1E03"/>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24DE"/>
    <w:rsid w:val="00302701"/>
    <w:rsid w:val="0030305A"/>
    <w:rsid w:val="00303442"/>
    <w:rsid w:val="003044B9"/>
    <w:rsid w:val="003073BB"/>
    <w:rsid w:val="00307683"/>
    <w:rsid w:val="00307B27"/>
    <w:rsid w:val="00307D3F"/>
    <w:rsid w:val="0031013F"/>
    <w:rsid w:val="0031058E"/>
    <w:rsid w:val="00310ED0"/>
    <w:rsid w:val="00311941"/>
    <w:rsid w:val="003123EA"/>
    <w:rsid w:val="003125FA"/>
    <w:rsid w:val="00313C4F"/>
    <w:rsid w:val="00314280"/>
    <w:rsid w:val="003158FE"/>
    <w:rsid w:val="00315DD9"/>
    <w:rsid w:val="00316717"/>
    <w:rsid w:val="00317050"/>
    <w:rsid w:val="00320B56"/>
    <w:rsid w:val="00320F94"/>
    <w:rsid w:val="003230B0"/>
    <w:rsid w:val="00325F5C"/>
    <w:rsid w:val="003268CF"/>
    <w:rsid w:val="00326974"/>
    <w:rsid w:val="00327A0A"/>
    <w:rsid w:val="0033007D"/>
    <w:rsid w:val="0033027D"/>
    <w:rsid w:val="003308C4"/>
    <w:rsid w:val="00330DE8"/>
    <w:rsid w:val="00331EDC"/>
    <w:rsid w:val="003323F3"/>
    <w:rsid w:val="0033306E"/>
    <w:rsid w:val="00333DC8"/>
    <w:rsid w:val="00335250"/>
    <w:rsid w:val="0033592C"/>
    <w:rsid w:val="00335B9C"/>
    <w:rsid w:val="00336164"/>
    <w:rsid w:val="0034150F"/>
    <w:rsid w:val="0034298C"/>
    <w:rsid w:val="0034305B"/>
    <w:rsid w:val="00343E84"/>
    <w:rsid w:val="003444EB"/>
    <w:rsid w:val="00344778"/>
    <w:rsid w:val="00344F78"/>
    <w:rsid w:val="0034511B"/>
    <w:rsid w:val="00345740"/>
    <w:rsid w:val="003504EC"/>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CEC"/>
    <w:rsid w:val="00357034"/>
    <w:rsid w:val="00357522"/>
    <w:rsid w:val="003576D7"/>
    <w:rsid w:val="00357712"/>
    <w:rsid w:val="0036185C"/>
    <w:rsid w:val="00361AFA"/>
    <w:rsid w:val="00362C5A"/>
    <w:rsid w:val="00362FFF"/>
    <w:rsid w:val="00364283"/>
    <w:rsid w:val="003643CE"/>
    <w:rsid w:val="00364C7A"/>
    <w:rsid w:val="0036599E"/>
    <w:rsid w:val="0036641B"/>
    <w:rsid w:val="003670A6"/>
    <w:rsid w:val="00367CE6"/>
    <w:rsid w:val="00370042"/>
    <w:rsid w:val="00370285"/>
    <w:rsid w:val="003703C5"/>
    <w:rsid w:val="00370D56"/>
    <w:rsid w:val="00370EFD"/>
    <w:rsid w:val="0037164C"/>
    <w:rsid w:val="003719F5"/>
    <w:rsid w:val="00372A6B"/>
    <w:rsid w:val="003741D2"/>
    <w:rsid w:val="00374804"/>
    <w:rsid w:val="00374F06"/>
    <w:rsid w:val="00375BD2"/>
    <w:rsid w:val="003762D5"/>
    <w:rsid w:val="003764FA"/>
    <w:rsid w:val="00376A34"/>
    <w:rsid w:val="00376AD6"/>
    <w:rsid w:val="00376C0D"/>
    <w:rsid w:val="0037709A"/>
    <w:rsid w:val="003773C7"/>
    <w:rsid w:val="00377569"/>
    <w:rsid w:val="00377A68"/>
    <w:rsid w:val="00377CE8"/>
    <w:rsid w:val="003809C0"/>
    <w:rsid w:val="003810EA"/>
    <w:rsid w:val="003811F7"/>
    <w:rsid w:val="0038166A"/>
    <w:rsid w:val="0038187D"/>
    <w:rsid w:val="003821E7"/>
    <w:rsid w:val="00382B96"/>
    <w:rsid w:val="00383130"/>
    <w:rsid w:val="00383D4B"/>
    <w:rsid w:val="003848D9"/>
    <w:rsid w:val="00385DBB"/>
    <w:rsid w:val="00386B71"/>
    <w:rsid w:val="003871D9"/>
    <w:rsid w:val="00387771"/>
    <w:rsid w:val="00387B4D"/>
    <w:rsid w:val="003908C2"/>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5CA5"/>
    <w:rsid w:val="003A6D8E"/>
    <w:rsid w:val="003A7789"/>
    <w:rsid w:val="003B0B4D"/>
    <w:rsid w:val="003B1041"/>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399"/>
    <w:rsid w:val="003C5FE4"/>
    <w:rsid w:val="003C6E9F"/>
    <w:rsid w:val="003C7CE7"/>
    <w:rsid w:val="003D0246"/>
    <w:rsid w:val="003D09DA"/>
    <w:rsid w:val="003D0A1E"/>
    <w:rsid w:val="003D12AF"/>
    <w:rsid w:val="003D132A"/>
    <w:rsid w:val="003D2339"/>
    <w:rsid w:val="003D26AA"/>
    <w:rsid w:val="003D35CB"/>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984"/>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89B"/>
    <w:rsid w:val="00406F4B"/>
    <w:rsid w:val="004073B0"/>
    <w:rsid w:val="004100B2"/>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889"/>
    <w:rsid w:val="00425C97"/>
    <w:rsid w:val="00426034"/>
    <w:rsid w:val="0042654A"/>
    <w:rsid w:val="00426761"/>
    <w:rsid w:val="00426AA7"/>
    <w:rsid w:val="00427478"/>
    <w:rsid w:val="004276E3"/>
    <w:rsid w:val="0042795C"/>
    <w:rsid w:val="00427E67"/>
    <w:rsid w:val="00430178"/>
    <w:rsid w:val="00430250"/>
    <w:rsid w:val="004309F8"/>
    <w:rsid w:val="00431843"/>
    <w:rsid w:val="0043198C"/>
    <w:rsid w:val="0043270B"/>
    <w:rsid w:val="00432E20"/>
    <w:rsid w:val="00432F8F"/>
    <w:rsid w:val="0043424B"/>
    <w:rsid w:val="0043480E"/>
    <w:rsid w:val="004355EB"/>
    <w:rsid w:val="00435602"/>
    <w:rsid w:val="00435635"/>
    <w:rsid w:val="004356FA"/>
    <w:rsid w:val="00435CCF"/>
    <w:rsid w:val="004365C5"/>
    <w:rsid w:val="00437179"/>
    <w:rsid w:val="004371AB"/>
    <w:rsid w:val="0044035D"/>
    <w:rsid w:val="004414D8"/>
    <w:rsid w:val="0044166C"/>
    <w:rsid w:val="00441FE8"/>
    <w:rsid w:val="00442856"/>
    <w:rsid w:val="00442AF0"/>
    <w:rsid w:val="004430FD"/>
    <w:rsid w:val="00443D9E"/>
    <w:rsid w:val="00443DFB"/>
    <w:rsid w:val="004442A7"/>
    <w:rsid w:val="00444D83"/>
    <w:rsid w:val="00444E09"/>
    <w:rsid w:val="00444F64"/>
    <w:rsid w:val="004450CE"/>
    <w:rsid w:val="00445275"/>
    <w:rsid w:val="00445513"/>
    <w:rsid w:val="00445CFF"/>
    <w:rsid w:val="004462AF"/>
    <w:rsid w:val="00446D2B"/>
    <w:rsid w:val="00450D3B"/>
    <w:rsid w:val="00450D54"/>
    <w:rsid w:val="00450E02"/>
    <w:rsid w:val="00450E4C"/>
    <w:rsid w:val="004518D5"/>
    <w:rsid w:val="00451B17"/>
    <w:rsid w:val="00451BEB"/>
    <w:rsid w:val="00451E3C"/>
    <w:rsid w:val="00452891"/>
    <w:rsid w:val="00453DEF"/>
    <w:rsid w:val="004543E4"/>
    <w:rsid w:val="004548E5"/>
    <w:rsid w:val="00455B39"/>
    <w:rsid w:val="00456114"/>
    <w:rsid w:val="004562F8"/>
    <w:rsid w:val="00456971"/>
    <w:rsid w:val="0045742D"/>
    <w:rsid w:val="004574AB"/>
    <w:rsid w:val="0046027A"/>
    <w:rsid w:val="004607CD"/>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4DBC"/>
    <w:rsid w:val="00475260"/>
    <w:rsid w:val="00475596"/>
    <w:rsid w:val="004759AD"/>
    <w:rsid w:val="00476D8B"/>
    <w:rsid w:val="0047703F"/>
    <w:rsid w:val="0047765A"/>
    <w:rsid w:val="0047786D"/>
    <w:rsid w:val="00477FF7"/>
    <w:rsid w:val="00480F17"/>
    <w:rsid w:val="004813F5"/>
    <w:rsid w:val="00481607"/>
    <w:rsid w:val="00482467"/>
    <w:rsid w:val="00483D11"/>
    <w:rsid w:val="00483D84"/>
    <w:rsid w:val="0048406D"/>
    <w:rsid w:val="004840BF"/>
    <w:rsid w:val="00484498"/>
    <w:rsid w:val="00484C46"/>
    <w:rsid w:val="00485E8A"/>
    <w:rsid w:val="00485E94"/>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D6C"/>
    <w:rsid w:val="004A5E0C"/>
    <w:rsid w:val="004A6F8B"/>
    <w:rsid w:val="004A705C"/>
    <w:rsid w:val="004A70E3"/>
    <w:rsid w:val="004A710E"/>
    <w:rsid w:val="004A71A7"/>
    <w:rsid w:val="004A7390"/>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55D"/>
    <w:rsid w:val="004C2F01"/>
    <w:rsid w:val="004C35D8"/>
    <w:rsid w:val="004C3974"/>
    <w:rsid w:val="004C44D3"/>
    <w:rsid w:val="004C4C9E"/>
    <w:rsid w:val="004C507D"/>
    <w:rsid w:val="004C521E"/>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240"/>
    <w:rsid w:val="004D6794"/>
    <w:rsid w:val="004D7316"/>
    <w:rsid w:val="004E0289"/>
    <w:rsid w:val="004E03BE"/>
    <w:rsid w:val="004E0821"/>
    <w:rsid w:val="004E0BDC"/>
    <w:rsid w:val="004E0CD0"/>
    <w:rsid w:val="004E0E39"/>
    <w:rsid w:val="004E12EB"/>
    <w:rsid w:val="004E1498"/>
    <w:rsid w:val="004E2487"/>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4E30"/>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2747"/>
    <w:rsid w:val="005137D0"/>
    <w:rsid w:val="00513F8F"/>
    <w:rsid w:val="005147E7"/>
    <w:rsid w:val="005149A2"/>
    <w:rsid w:val="00515033"/>
    <w:rsid w:val="005150E4"/>
    <w:rsid w:val="00515585"/>
    <w:rsid w:val="005157A7"/>
    <w:rsid w:val="005157BE"/>
    <w:rsid w:val="00515E2B"/>
    <w:rsid w:val="00517326"/>
    <w:rsid w:val="00517B89"/>
    <w:rsid w:val="00517C3B"/>
    <w:rsid w:val="0052001B"/>
    <w:rsid w:val="00521D65"/>
    <w:rsid w:val="00522592"/>
    <w:rsid w:val="00522E36"/>
    <w:rsid w:val="00523B71"/>
    <w:rsid w:val="00523F32"/>
    <w:rsid w:val="005251DA"/>
    <w:rsid w:val="00525515"/>
    <w:rsid w:val="005255CE"/>
    <w:rsid w:val="00525CAE"/>
    <w:rsid w:val="00526653"/>
    <w:rsid w:val="00526C8A"/>
    <w:rsid w:val="00527489"/>
    <w:rsid w:val="00527681"/>
    <w:rsid w:val="00527DB2"/>
    <w:rsid w:val="00530BD5"/>
    <w:rsid w:val="00531307"/>
    <w:rsid w:val="0053173A"/>
    <w:rsid w:val="00531824"/>
    <w:rsid w:val="00532462"/>
    <w:rsid w:val="00532976"/>
    <w:rsid w:val="00533215"/>
    <w:rsid w:val="005339D2"/>
    <w:rsid w:val="0053437E"/>
    <w:rsid w:val="0053476E"/>
    <w:rsid w:val="005349EB"/>
    <w:rsid w:val="00534B42"/>
    <w:rsid w:val="00534D96"/>
    <w:rsid w:val="0053542C"/>
    <w:rsid w:val="005408FD"/>
    <w:rsid w:val="00540EC8"/>
    <w:rsid w:val="005417A0"/>
    <w:rsid w:val="005422E8"/>
    <w:rsid w:val="005426C4"/>
    <w:rsid w:val="00543342"/>
    <w:rsid w:val="00543A66"/>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12F8"/>
    <w:rsid w:val="0056171E"/>
    <w:rsid w:val="0056200F"/>
    <w:rsid w:val="00562276"/>
    <w:rsid w:val="005622DF"/>
    <w:rsid w:val="005639EE"/>
    <w:rsid w:val="0056434D"/>
    <w:rsid w:val="005649A2"/>
    <w:rsid w:val="00564D6E"/>
    <w:rsid w:val="0056710F"/>
    <w:rsid w:val="0056719E"/>
    <w:rsid w:val="00567D6E"/>
    <w:rsid w:val="00570859"/>
    <w:rsid w:val="00570C83"/>
    <w:rsid w:val="00572583"/>
    <w:rsid w:val="00572A3E"/>
    <w:rsid w:val="00572B21"/>
    <w:rsid w:val="00573146"/>
    <w:rsid w:val="005735E8"/>
    <w:rsid w:val="0057380A"/>
    <w:rsid w:val="00573B1B"/>
    <w:rsid w:val="00573E29"/>
    <w:rsid w:val="00573F24"/>
    <w:rsid w:val="00575248"/>
    <w:rsid w:val="00575716"/>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4B20"/>
    <w:rsid w:val="00595652"/>
    <w:rsid w:val="00595B80"/>
    <w:rsid w:val="00596788"/>
    <w:rsid w:val="005968C4"/>
    <w:rsid w:val="00596A82"/>
    <w:rsid w:val="00597605"/>
    <w:rsid w:val="005A05C6"/>
    <w:rsid w:val="005A0753"/>
    <w:rsid w:val="005A0789"/>
    <w:rsid w:val="005A167B"/>
    <w:rsid w:val="005A2229"/>
    <w:rsid w:val="005A2832"/>
    <w:rsid w:val="005A320D"/>
    <w:rsid w:val="005A3468"/>
    <w:rsid w:val="005A35EA"/>
    <w:rsid w:val="005A36E3"/>
    <w:rsid w:val="005A4A64"/>
    <w:rsid w:val="005A50FE"/>
    <w:rsid w:val="005A59CF"/>
    <w:rsid w:val="005A6CB4"/>
    <w:rsid w:val="005A7ECD"/>
    <w:rsid w:val="005A7F72"/>
    <w:rsid w:val="005B097C"/>
    <w:rsid w:val="005B1CC4"/>
    <w:rsid w:val="005B1D3E"/>
    <w:rsid w:val="005B2EB8"/>
    <w:rsid w:val="005B33A1"/>
    <w:rsid w:val="005B36B3"/>
    <w:rsid w:val="005B5251"/>
    <w:rsid w:val="005B54FE"/>
    <w:rsid w:val="005B5A55"/>
    <w:rsid w:val="005B5F56"/>
    <w:rsid w:val="005B67F6"/>
    <w:rsid w:val="005B7D8A"/>
    <w:rsid w:val="005C0904"/>
    <w:rsid w:val="005C09BF"/>
    <w:rsid w:val="005C0D61"/>
    <w:rsid w:val="005C0E62"/>
    <w:rsid w:val="005C17D4"/>
    <w:rsid w:val="005C18B0"/>
    <w:rsid w:val="005C1B10"/>
    <w:rsid w:val="005C2EA8"/>
    <w:rsid w:val="005C2FCB"/>
    <w:rsid w:val="005C3A28"/>
    <w:rsid w:val="005C4037"/>
    <w:rsid w:val="005C5849"/>
    <w:rsid w:val="005C5AA6"/>
    <w:rsid w:val="005C5E0A"/>
    <w:rsid w:val="005C5E4D"/>
    <w:rsid w:val="005C7CAD"/>
    <w:rsid w:val="005D02FA"/>
    <w:rsid w:val="005D0790"/>
    <w:rsid w:val="005D0E4D"/>
    <w:rsid w:val="005D2043"/>
    <w:rsid w:val="005D20FC"/>
    <w:rsid w:val="005D2464"/>
    <w:rsid w:val="005D2EE8"/>
    <w:rsid w:val="005D32EE"/>
    <w:rsid w:val="005D38CA"/>
    <w:rsid w:val="005D4722"/>
    <w:rsid w:val="005D4884"/>
    <w:rsid w:val="005D49D1"/>
    <w:rsid w:val="005D5E46"/>
    <w:rsid w:val="005D64A5"/>
    <w:rsid w:val="005D680B"/>
    <w:rsid w:val="005D6B30"/>
    <w:rsid w:val="005D7AA9"/>
    <w:rsid w:val="005E0010"/>
    <w:rsid w:val="005E0EAD"/>
    <w:rsid w:val="005E0EB3"/>
    <w:rsid w:val="005E1F47"/>
    <w:rsid w:val="005E260D"/>
    <w:rsid w:val="005E35FD"/>
    <w:rsid w:val="005E383F"/>
    <w:rsid w:val="005E5220"/>
    <w:rsid w:val="005E5E30"/>
    <w:rsid w:val="005E7342"/>
    <w:rsid w:val="005E7698"/>
    <w:rsid w:val="005E77D7"/>
    <w:rsid w:val="005E7CAF"/>
    <w:rsid w:val="005F0931"/>
    <w:rsid w:val="005F0C46"/>
    <w:rsid w:val="005F1FE4"/>
    <w:rsid w:val="005F2AF8"/>
    <w:rsid w:val="005F371A"/>
    <w:rsid w:val="005F3F7F"/>
    <w:rsid w:val="005F4950"/>
    <w:rsid w:val="005F499E"/>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6C6F"/>
    <w:rsid w:val="00606FA6"/>
    <w:rsid w:val="00607079"/>
    <w:rsid w:val="00607ADE"/>
    <w:rsid w:val="00611C83"/>
    <w:rsid w:val="00612015"/>
    <w:rsid w:val="006122CF"/>
    <w:rsid w:val="0061286E"/>
    <w:rsid w:val="00612C73"/>
    <w:rsid w:val="006135B2"/>
    <w:rsid w:val="006144BB"/>
    <w:rsid w:val="00614CB4"/>
    <w:rsid w:val="00614EE6"/>
    <w:rsid w:val="006151F5"/>
    <w:rsid w:val="00615BDB"/>
    <w:rsid w:val="00616A04"/>
    <w:rsid w:val="0061717F"/>
    <w:rsid w:val="006179B1"/>
    <w:rsid w:val="00617D03"/>
    <w:rsid w:val="00617E9E"/>
    <w:rsid w:val="00620686"/>
    <w:rsid w:val="006209E8"/>
    <w:rsid w:val="00621B11"/>
    <w:rsid w:val="00621C0B"/>
    <w:rsid w:val="00621CAD"/>
    <w:rsid w:val="00622A7E"/>
    <w:rsid w:val="0062317C"/>
    <w:rsid w:val="00623A7F"/>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4B95"/>
    <w:rsid w:val="00635175"/>
    <w:rsid w:val="006352B0"/>
    <w:rsid w:val="00635CC3"/>
    <w:rsid w:val="00636041"/>
    <w:rsid w:val="00636094"/>
    <w:rsid w:val="006373C7"/>
    <w:rsid w:val="00637E00"/>
    <w:rsid w:val="00640222"/>
    <w:rsid w:val="00640E17"/>
    <w:rsid w:val="00641061"/>
    <w:rsid w:val="006412CA"/>
    <w:rsid w:val="00641E4B"/>
    <w:rsid w:val="006427D6"/>
    <w:rsid w:val="006428E2"/>
    <w:rsid w:val="00642D10"/>
    <w:rsid w:val="006430B5"/>
    <w:rsid w:val="00644200"/>
    <w:rsid w:val="0064640A"/>
    <w:rsid w:val="00647D2D"/>
    <w:rsid w:val="00650854"/>
    <w:rsid w:val="00650A04"/>
    <w:rsid w:val="00650CAB"/>
    <w:rsid w:val="006510F4"/>
    <w:rsid w:val="006514E4"/>
    <w:rsid w:val="00651AD3"/>
    <w:rsid w:val="00651FA0"/>
    <w:rsid w:val="006526F3"/>
    <w:rsid w:val="0065293D"/>
    <w:rsid w:val="006536FE"/>
    <w:rsid w:val="00653C67"/>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5E3A"/>
    <w:rsid w:val="006979CD"/>
    <w:rsid w:val="00697FE2"/>
    <w:rsid w:val="006A0B49"/>
    <w:rsid w:val="006A1313"/>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B1229"/>
    <w:rsid w:val="006B1938"/>
    <w:rsid w:val="006B19B2"/>
    <w:rsid w:val="006B1DA2"/>
    <w:rsid w:val="006B1F5F"/>
    <w:rsid w:val="006B2064"/>
    <w:rsid w:val="006B2A06"/>
    <w:rsid w:val="006B3AD6"/>
    <w:rsid w:val="006B4F5B"/>
    <w:rsid w:val="006B5922"/>
    <w:rsid w:val="006B67DE"/>
    <w:rsid w:val="006B6C94"/>
    <w:rsid w:val="006B6E3E"/>
    <w:rsid w:val="006C0900"/>
    <w:rsid w:val="006C09DD"/>
    <w:rsid w:val="006C10C0"/>
    <w:rsid w:val="006C2EC2"/>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C3A"/>
    <w:rsid w:val="006E6FC9"/>
    <w:rsid w:val="006E7093"/>
    <w:rsid w:val="006E7496"/>
    <w:rsid w:val="006E7969"/>
    <w:rsid w:val="006F0B08"/>
    <w:rsid w:val="006F0C12"/>
    <w:rsid w:val="006F0EB1"/>
    <w:rsid w:val="006F1636"/>
    <w:rsid w:val="006F16B4"/>
    <w:rsid w:val="006F2CCB"/>
    <w:rsid w:val="006F2E9D"/>
    <w:rsid w:val="006F314D"/>
    <w:rsid w:val="006F3C62"/>
    <w:rsid w:val="006F57A2"/>
    <w:rsid w:val="006F59D4"/>
    <w:rsid w:val="006F5CDF"/>
    <w:rsid w:val="006F61B8"/>
    <w:rsid w:val="006F6BE1"/>
    <w:rsid w:val="006F738F"/>
    <w:rsid w:val="006F7E42"/>
    <w:rsid w:val="0070023A"/>
    <w:rsid w:val="00700EC2"/>
    <w:rsid w:val="00700F47"/>
    <w:rsid w:val="007014E9"/>
    <w:rsid w:val="0070193E"/>
    <w:rsid w:val="00701F6B"/>
    <w:rsid w:val="00701F87"/>
    <w:rsid w:val="007032B8"/>
    <w:rsid w:val="007036E5"/>
    <w:rsid w:val="0070452B"/>
    <w:rsid w:val="007047A6"/>
    <w:rsid w:val="00704C05"/>
    <w:rsid w:val="007062DD"/>
    <w:rsid w:val="00706D73"/>
    <w:rsid w:val="00706DA9"/>
    <w:rsid w:val="00706E42"/>
    <w:rsid w:val="00707BF4"/>
    <w:rsid w:val="0071029D"/>
    <w:rsid w:val="00710815"/>
    <w:rsid w:val="00710994"/>
    <w:rsid w:val="00710D33"/>
    <w:rsid w:val="00710FF5"/>
    <w:rsid w:val="0071129C"/>
    <w:rsid w:val="00711AE4"/>
    <w:rsid w:val="00712D0F"/>
    <w:rsid w:val="0071374D"/>
    <w:rsid w:val="007137DB"/>
    <w:rsid w:val="007146D9"/>
    <w:rsid w:val="00714D12"/>
    <w:rsid w:val="00714D3C"/>
    <w:rsid w:val="0071649C"/>
    <w:rsid w:val="007167B9"/>
    <w:rsid w:val="0071705C"/>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9CA"/>
    <w:rsid w:val="00725CB6"/>
    <w:rsid w:val="00726281"/>
    <w:rsid w:val="00726C1B"/>
    <w:rsid w:val="00730918"/>
    <w:rsid w:val="00730B78"/>
    <w:rsid w:val="0073128B"/>
    <w:rsid w:val="007312CB"/>
    <w:rsid w:val="0073171A"/>
    <w:rsid w:val="0073278B"/>
    <w:rsid w:val="00733FA0"/>
    <w:rsid w:val="0073446C"/>
    <w:rsid w:val="007347C0"/>
    <w:rsid w:val="007354B7"/>
    <w:rsid w:val="00735D01"/>
    <w:rsid w:val="00735DF3"/>
    <w:rsid w:val="0073642C"/>
    <w:rsid w:val="00736619"/>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D56"/>
    <w:rsid w:val="00746FA0"/>
    <w:rsid w:val="00747446"/>
    <w:rsid w:val="00747915"/>
    <w:rsid w:val="00747F05"/>
    <w:rsid w:val="00750292"/>
    <w:rsid w:val="0075066D"/>
    <w:rsid w:val="00750A08"/>
    <w:rsid w:val="00751651"/>
    <w:rsid w:val="0075170D"/>
    <w:rsid w:val="0075179E"/>
    <w:rsid w:val="00751C37"/>
    <w:rsid w:val="007529E9"/>
    <w:rsid w:val="00752E1F"/>
    <w:rsid w:val="00752FE7"/>
    <w:rsid w:val="00753440"/>
    <w:rsid w:val="00753819"/>
    <w:rsid w:val="00753DAC"/>
    <w:rsid w:val="00753DDF"/>
    <w:rsid w:val="00754E83"/>
    <w:rsid w:val="00754FB6"/>
    <w:rsid w:val="00755151"/>
    <w:rsid w:val="00755B06"/>
    <w:rsid w:val="0075603B"/>
    <w:rsid w:val="00756C09"/>
    <w:rsid w:val="007570E6"/>
    <w:rsid w:val="00757A61"/>
    <w:rsid w:val="00757C96"/>
    <w:rsid w:val="007600A8"/>
    <w:rsid w:val="00760D79"/>
    <w:rsid w:val="0076121D"/>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68F2"/>
    <w:rsid w:val="00776E9E"/>
    <w:rsid w:val="00777126"/>
    <w:rsid w:val="007773CD"/>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33C1"/>
    <w:rsid w:val="007A33FF"/>
    <w:rsid w:val="007A4C0C"/>
    <w:rsid w:val="007A5260"/>
    <w:rsid w:val="007A5493"/>
    <w:rsid w:val="007A5A5A"/>
    <w:rsid w:val="007A5BC2"/>
    <w:rsid w:val="007A618D"/>
    <w:rsid w:val="007A765B"/>
    <w:rsid w:val="007B0253"/>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2102"/>
    <w:rsid w:val="007C508D"/>
    <w:rsid w:val="007C52ED"/>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4238"/>
    <w:rsid w:val="007E4E4F"/>
    <w:rsid w:val="007E6477"/>
    <w:rsid w:val="007E6601"/>
    <w:rsid w:val="007E686B"/>
    <w:rsid w:val="007E6D46"/>
    <w:rsid w:val="007E6DA8"/>
    <w:rsid w:val="007E7A3E"/>
    <w:rsid w:val="007F05E0"/>
    <w:rsid w:val="007F0AE2"/>
    <w:rsid w:val="007F0DD3"/>
    <w:rsid w:val="007F163D"/>
    <w:rsid w:val="007F1A2B"/>
    <w:rsid w:val="007F1BCC"/>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7F9"/>
    <w:rsid w:val="00814B5E"/>
    <w:rsid w:val="00814B7D"/>
    <w:rsid w:val="00814C44"/>
    <w:rsid w:val="00814F19"/>
    <w:rsid w:val="00815706"/>
    <w:rsid w:val="00815A88"/>
    <w:rsid w:val="008162DE"/>
    <w:rsid w:val="00817025"/>
    <w:rsid w:val="008202C9"/>
    <w:rsid w:val="00820759"/>
    <w:rsid w:val="0082081A"/>
    <w:rsid w:val="00820B06"/>
    <w:rsid w:val="00820E25"/>
    <w:rsid w:val="00821167"/>
    <w:rsid w:val="00821737"/>
    <w:rsid w:val="00821B0B"/>
    <w:rsid w:val="00821D34"/>
    <w:rsid w:val="00821D40"/>
    <w:rsid w:val="008237B2"/>
    <w:rsid w:val="00827A8A"/>
    <w:rsid w:val="00830D11"/>
    <w:rsid w:val="008314F0"/>
    <w:rsid w:val="008319D3"/>
    <w:rsid w:val="00832C18"/>
    <w:rsid w:val="00832F67"/>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014"/>
    <w:rsid w:val="0084554A"/>
    <w:rsid w:val="00845F51"/>
    <w:rsid w:val="00846069"/>
    <w:rsid w:val="0084637B"/>
    <w:rsid w:val="00846467"/>
    <w:rsid w:val="0084760D"/>
    <w:rsid w:val="00847991"/>
    <w:rsid w:val="00847C4E"/>
    <w:rsid w:val="0085172A"/>
    <w:rsid w:val="008517E2"/>
    <w:rsid w:val="008535B0"/>
    <w:rsid w:val="00853A21"/>
    <w:rsid w:val="00853BD0"/>
    <w:rsid w:val="00854983"/>
    <w:rsid w:val="00854DBE"/>
    <w:rsid w:val="00855C75"/>
    <w:rsid w:val="008569DF"/>
    <w:rsid w:val="00856B6B"/>
    <w:rsid w:val="00856E4A"/>
    <w:rsid w:val="00856EE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34E7"/>
    <w:rsid w:val="0087404E"/>
    <w:rsid w:val="008744DD"/>
    <w:rsid w:val="00874C48"/>
    <w:rsid w:val="0087504C"/>
    <w:rsid w:val="008751A1"/>
    <w:rsid w:val="00875394"/>
    <w:rsid w:val="00875905"/>
    <w:rsid w:val="00876B38"/>
    <w:rsid w:val="00876C1A"/>
    <w:rsid w:val="00877149"/>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87854"/>
    <w:rsid w:val="008907B2"/>
    <w:rsid w:val="00890C19"/>
    <w:rsid w:val="00891046"/>
    <w:rsid w:val="008914A6"/>
    <w:rsid w:val="00891DD0"/>
    <w:rsid w:val="008922DF"/>
    <w:rsid w:val="0089290E"/>
    <w:rsid w:val="00892C2E"/>
    <w:rsid w:val="0089357C"/>
    <w:rsid w:val="00893773"/>
    <w:rsid w:val="008949CC"/>
    <w:rsid w:val="0089549F"/>
    <w:rsid w:val="008954B3"/>
    <w:rsid w:val="008958EF"/>
    <w:rsid w:val="008959F1"/>
    <w:rsid w:val="00895F27"/>
    <w:rsid w:val="008970B5"/>
    <w:rsid w:val="008971D9"/>
    <w:rsid w:val="008A0473"/>
    <w:rsid w:val="008A16AE"/>
    <w:rsid w:val="008A24BD"/>
    <w:rsid w:val="008A2593"/>
    <w:rsid w:val="008A2B4D"/>
    <w:rsid w:val="008A36ED"/>
    <w:rsid w:val="008A422F"/>
    <w:rsid w:val="008A42D8"/>
    <w:rsid w:val="008A45B1"/>
    <w:rsid w:val="008A59E9"/>
    <w:rsid w:val="008A6605"/>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436D"/>
    <w:rsid w:val="008C4853"/>
    <w:rsid w:val="008C48F2"/>
    <w:rsid w:val="008C5040"/>
    <w:rsid w:val="008C5BE7"/>
    <w:rsid w:val="008C74CC"/>
    <w:rsid w:val="008C7C3C"/>
    <w:rsid w:val="008C7F77"/>
    <w:rsid w:val="008D095D"/>
    <w:rsid w:val="008D13DC"/>
    <w:rsid w:val="008D1E23"/>
    <w:rsid w:val="008D2461"/>
    <w:rsid w:val="008D2C0B"/>
    <w:rsid w:val="008D34B7"/>
    <w:rsid w:val="008D39AB"/>
    <w:rsid w:val="008D4025"/>
    <w:rsid w:val="008D479A"/>
    <w:rsid w:val="008D4EA1"/>
    <w:rsid w:val="008D538D"/>
    <w:rsid w:val="008D5E0F"/>
    <w:rsid w:val="008D5FCD"/>
    <w:rsid w:val="008D6288"/>
    <w:rsid w:val="008D6C6B"/>
    <w:rsid w:val="008D6F90"/>
    <w:rsid w:val="008D745F"/>
    <w:rsid w:val="008D7615"/>
    <w:rsid w:val="008D76A0"/>
    <w:rsid w:val="008E0E8C"/>
    <w:rsid w:val="008E16C5"/>
    <w:rsid w:val="008E2051"/>
    <w:rsid w:val="008E2525"/>
    <w:rsid w:val="008E356A"/>
    <w:rsid w:val="008E3BCB"/>
    <w:rsid w:val="008E3BEB"/>
    <w:rsid w:val="008E412D"/>
    <w:rsid w:val="008E4145"/>
    <w:rsid w:val="008E451A"/>
    <w:rsid w:val="008E455C"/>
    <w:rsid w:val="008E4C61"/>
    <w:rsid w:val="008E4E8B"/>
    <w:rsid w:val="008E5867"/>
    <w:rsid w:val="008E5D5A"/>
    <w:rsid w:val="008E6240"/>
    <w:rsid w:val="008E6D2D"/>
    <w:rsid w:val="008E76F3"/>
    <w:rsid w:val="008E7A59"/>
    <w:rsid w:val="008E7FDA"/>
    <w:rsid w:val="008F01AB"/>
    <w:rsid w:val="008F23C7"/>
    <w:rsid w:val="008F2A4E"/>
    <w:rsid w:val="008F3DC9"/>
    <w:rsid w:val="008F4107"/>
    <w:rsid w:val="008F4807"/>
    <w:rsid w:val="008F4BFE"/>
    <w:rsid w:val="008F4F27"/>
    <w:rsid w:val="008F56B5"/>
    <w:rsid w:val="008F595E"/>
    <w:rsid w:val="008F7697"/>
    <w:rsid w:val="008F7AEE"/>
    <w:rsid w:val="00900BAA"/>
    <w:rsid w:val="00901845"/>
    <w:rsid w:val="00901AAA"/>
    <w:rsid w:val="0090242C"/>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1E1A"/>
    <w:rsid w:val="009123B9"/>
    <w:rsid w:val="00912DDD"/>
    <w:rsid w:val="00913859"/>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F26"/>
    <w:rsid w:val="0094086F"/>
    <w:rsid w:val="00940AA2"/>
    <w:rsid w:val="00940B68"/>
    <w:rsid w:val="00940DF4"/>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1201"/>
    <w:rsid w:val="009515E0"/>
    <w:rsid w:val="00951995"/>
    <w:rsid w:val="00951B63"/>
    <w:rsid w:val="00951C7E"/>
    <w:rsid w:val="00951CF6"/>
    <w:rsid w:val="009520A6"/>
    <w:rsid w:val="0095247E"/>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B8B"/>
    <w:rsid w:val="00961BF6"/>
    <w:rsid w:val="00961D3F"/>
    <w:rsid w:val="00962AA0"/>
    <w:rsid w:val="00962CB3"/>
    <w:rsid w:val="00963164"/>
    <w:rsid w:val="00963275"/>
    <w:rsid w:val="0096347D"/>
    <w:rsid w:val="00963CD6"/>
    <w:rsid w:val="009646FA"/>
    <w:rsid w:val="009654F0"/>
    <w:rsid w:val="009667FB"/>
    <w:rsid w:val="00966C9A"/>
    <w:rsid w:val="00967B12"/>
    <w:rsid w:val="00970E72"/>
    <w:rsid w:val="00970F7A"/>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BA"/>
    <w:rsid w:val="009773CE"/>
    <w:rsid w:val="0097780F"/>
    <w:rsid w:val="009778AB"/>
    <w:rsid w:val="00981CB6"/>
    <w:rsid w:val="00982AB4"/>
    <w:rsid w:val="00983061"/>
    <w:rsid w:val="0098312F"/>
    <w:rsid w:val="00983223"/>
    <w:rsid w:val="00984206"/>
    <w:rsid w:val="0098511E"/>
    <w:rsid w:val="0098541D"/>
    <w:rsid w:val="00985C9A"/>
    <w:rsid w:val="009866CE"/>
    <w:rsid w:val="009879B5"/>
    <w:rsid w:val="00990010"/>
    <w:rsid w:val="00990732"/>
    <w:rsid w:val="00990C1F"/>
    <w:rsid w:val="00991820"/>
    <w:rsid w:val="00991C57"/>
    <w:rsid w:val="00991F39"/>
    <w:rsid w:val="009930C0"/>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2465"/>
    <w:rsid w:val="009B285A"/>
    <w:rsid w:val="009B300F"/>
    <w:rsid w:val="009B3745"/>
    <w:rsid w:val="009B46E0"/>
    <w:rsid w:val="009B521B"/>
    <w:rsid w:val="009B5DD5"/>
    <w:rsid w:val="009B6970"/>
    <w:rsid w:val="009B74E2"/>
    <w:rsid w:val="009C00EF"/>
    <w:rsid w:val="009C064F"/>
    <w:rsid w:val="009C1566"/>
    <w:rsid w:val="009C245B"/>
    <w:rsid w:val="009C281C"/>
    <w:rsid w:val="009C3440"/>
    <w:rsid w:val="009C4E6E"/>
    <w:rsid w:val="009C520B"/>
    <w:rsid w:val="009C5874"/>
    <w:rsid w:val="009C6768"/>
    <w:rsid w:val="009C6894"/>
    <w:rsid w:val="009C68C6"/>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F97"/>
    <w:rsid w:val="009E3790"/>
    <w:rsid w:val="009E3809"/>
    <w:rsid w:val="009E3B5F"/>
    <w:rsid w:val="009E3C3E"/>
    <w:rsid w:val="009E457F"/>
    <w:rsid w:val="009E4811"/>
    <w:rsid w:val="009E5912"/>
    <w:rsid w:val="009E59CC"/>
    <w:rsid w:val="009E6928"/>
    <w:rsid w:val="009E70CF"/>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8BE"/>
    <w:rsid w:val="00A0004F"/>
    <w:rsid w:val="00A0039D"/>
    <w:rsid w:val="00A00574"/>
    <w:rsid w:val="00A00ABE"/>
    <w:rsid w:val="00A00B85"/>
    <w:rsid w:val="00A010FB"/>
    <w:rsid w:val="00A02B5C"/>
    <w:rsid w:val="00A0345F"/>
    <w:rsid w:val="00A03D28"/>
    <w:rsid w:val="00A0434A"/>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3B0"/>
    <w:rsid w:val="00A21AAA"/>
    <w:rsid w:val="00A21FEA"/>
    <w:rsid w:val="00A224A1"/>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28E"/>
    <w:rsid w:val="00A4570E"/>
    <w:rsid w:val="00A4648A"/>
    <w:rsid w:val="00A46B10"/>
    <w:rsid w:val="00A46F1F"/>
    <w:rsid w:val="00A46FAD"/>
    <w:rsid w:val="00A472DB"/>
    <w:rsid w:val="00A5044D"/>
    <w:rsid w:val="00A50B00"/>
    <w:rsid w:val="00A50E51"/>
    <w:rsid w:val="00A514EB"/>
    <w:rsid w:val="00A518FF"/>
    <w:rsid w:val="00A521E0"/>
    <w:rsid w:val="00A52BE9"/>
    <w:rsid w:val="00A54628"/>
    <w:rsid w:val="00A54826"/>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8F2"/>
    <w:rsid w:val="00A64FF9"/>
    <w:rsid w:val="00A65C98"/>
    <w:rsid w:val="00A6630B"/>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77F6F"/>
    <w:rsid w:val="00A80709"/>
    <w:rsid w:val="00A817F3"/>
    <w:rsid w:val="00A81DCD"/>
    <w:rsid w:val="00A8221B"/>
    <w:rsid w:val="00A82D80"/>
    <w:rsid w:val="00A83213"/>
    <w:rsid w:val="00A83430"/>
    <w:rsid w:val="00A8389D"/>
    <w:rsid w:val="00A83BF1"/>
    <w:rsid w:val="00A84298"/>
    <w:rsid w:val="00A842D6"/>
    <w:rsid w:val="00A844C6"/>
    <w:rsid w:val="00A8523D"/>
    <w:rsid w:val="00A853A6"/>
    <w:rsid w:val="00A905F1"/>
    <w:rsid w:val="00A90E27"/>
    <w:rsid w:val="00A90F65"/>
    <w:rsid w:val="00A911C3"/>
    <w:rsid w:val="00A91218"/>
    <w:rsid w:val="00A913B4"/>
    <w:rsid w:val="00A92A8E"/>
    <w:rsid w:val="00A92BA5"/>
    <w:rsid w:val="00A934FE"/>
    <w:rsid w:val="00A94B41"/>
    <w:rsid w:val="00A95933"/>
    <w:rsid w:val="00A959DF"/>
    <w:rsid w:val="00A96D7E"/>
    <w:rsid w:val="00A97060"/>
    <w:rsid w:val="00A9777F"/>
    <w:rsid w:val="00A97B8C"/>
    <w:rsid w:val="00A97BCD"/>
    <w:rsid w:val="00A97EB5"/>
    <w:rsid w:val="00AA0C88"/>
    <w:rsid w:val="00AA158B"/>
    <w:rsid w:val="00AA1D12"/>
    <w:rsid w:val="00AA216B"/>
    <w:rsid w:val="00AA2CD8"/>
    <w:rsid w:val="00AA30A2"/>
    <w:rsid w:val="00AA35D2"/>
    <w:rsid w:val="00AA37AC"/>
    <w:rsid w:val="00AA398E"/>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67D"/>
    <w:rsid w:val="00AC3727"/>
    <w:rsid w:val="00AC4379"/>
    <w:rsid w:val="00AC4D53"/>
    <w:rsid w:val="00AC4E7D"/>
    <w:rsid w:val="00AC55D6"/>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3F9D"/>
    <w:rsid w:val="00AF4542"/>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84E"/>
    <w:rsid w:val="00B24C37"/>
    <w:rsid w:val="00B24F49"/>
    <w:rsid w:val="00B255A7"/>
    <w:rsid w:val="00B25A70"/>
    <w:rsid w:val="00B25F9A"/>
    <w:rsid w:val="00B263DD"/>
    <w:rsid w:val="00B27080"/>
    <w:rsid w:val="00B272D3"/>
    <w:rsid w:val="00B31F85"/>
    <w:rsid w:val="00B32D9A"/>
    <w:rsid w:val="00B33105"/>
    <w:rsid w:val="00B336EB"/>
    <w:rsid w:val="00B3396B"/>
    <w:rsid w:val="00B33C09"/>
    <w:rsid w:val="00B34CA0"/>
    <w:rsid w:val="00B35846"/>
    <w:rsid w:val="00B35E23"/>
    <w:rsid w:val="00B36447"/>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AA8"/>
    <w:rsid w:val="00B61E14"/>
    <w:rsid w:val="00B63A2F"/>
    <w:rsid w:val="00B63CF7"/>
    <w:rsid w:val="00B64484"/>
    <w:rsid w:val="00B65956"/>
    <w:rsid w:val="00B65E54"/>
    <w:rsid w:val="00B660A0"/>
    <w:rsid w:val="00B67D22"/>
    <w:rsid w:val="00B70068"/>
    <w:rsid w:val="00B701B4"/>
    <w:rsid w:val="00B70288"/>
    <w:rsid w:val="00B7049B"/>
    <w:rsid w:val="00B70EDB"/>
    <w:rsid w:val="00B71A5D"/>
    <w:rsid w:val="00B71F17"/>
    <w:rsid w:val="00B72444"/>
    <w:rsid w:val="00B7260F"/>
    <w:rsid w:val="00B737C7"/>
    <w:rsid w:val="00B74A0D"/>
    <w:rsid w:val="00B74FBD"/>
    <w:rsid w:val="00B75180"/>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F7F"/>
    <w:rsid w:val="00B8620A"/>
    <w:rsid w:val="00B86DBB"/>
    <w:rsid w:val="00B86FC3"/>
    <w:rsid w:val="00B9086A"/>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74"/>
    <w:rsid w:val="00BA68C1"/>
    <w:rsid w:val="00BA6E74"/>
    <w:rsid w:val="00BA715B"/>
    <w:rsid w:val="00BA79BC"/>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471D"/>
    <w:rsid w:val="00BD567C"/>
    <w:rsid w:val="00BD5A65"/>
    <w:rsid w:val="00BD689C"/>
    <w:rsid w:val="00BD68BE"/>
    <w:rsid w:val="00BD7F9E"/>
    <w:rsid w:val="00BE09DC"/>
    <w:rsid w:val="00BE0D74"/>
    <w:rsid w:val="00BE1378"/>
    <w:rsid w:val="00BE1A06"/>
    <w:rsid w:val="00BE20F7"/>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60E3"/>
    <w:rsid w:val="00BF67D2"/>
    <w:rsid w:val="00BF6E9F"/>
    <w:rsid w:val="00BF6ECD"/>
    <w:rsid w:val="00BF70A1"/>
    <w:rsid w:val="00BF752F"/>
    <w:rsid w:val="00BF7D43"/>
    <w:rsid w:val="00C00B95"/>
    <w:rsid w:val="00C00D06"/>
    <w:rsid w:val="00C00D60"/>
    <w:rsid w:val="00C013A3"/>
    <w:rsid w:val="00C01B4D"/>
    <w:rsid w:val="00C02C93"/>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88F"/>
    <w:rsid w:val="00C219B3"/>
    <w:rsid w:val="00C22495"/>
    <w:rsid w:val="00C232DD"/>
    <w:rsid w:val="00C24018"/>
    <w:rsid w:val="00C2423A"/>
    <w:rsid w:val="00C2448C"/>
    <w:rsid w:val="00C24DDC"/>
    <w:rsid w:val="00C24EE5"/>
    <w:rsid w:val="00C259E3"/>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751"/>
    <w:rsid w:val="00C34C05"/>
    <w:rsid w:val="00C3566B"/>
    <w:rsid w:val="00C35B23"/>
    <w:rsid w:val="00C35BE3"/>
    <w:rsid w:val="00C36064"/>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1B51"/>
    <w:rsid w:val="00C51F1A"/>
    <w:rsid w:val="00C522F8"/>
    <w:rsid w:val="00C5257E"/>
    <w:rsid w:val="00C52BD9"/>
    <w:rsid w:val="00C52FE0"/>
    <w:rsid w:val="00C5337B"/>
    <w:rsid w:val="00C544CA"/>
    <w:rsid w:val="00C54C62"/>
    <w:rsid w:val="00C55231"/>
    <w:rsid w:val="00C563DF"/>
    <w:rsid w:val="00C57096"/>
    <w:rsid w:val="00C57750"/>
    <w:rsid w:val="00C57CC6"/>
    <w:rsid w:val="00C604D8"/>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6E0C"/>
    <w:rsid w:val="00C67420"/>
    <w:rsid w:val="00C679BA"/>
    <w:rsid w:val="00C70551"/>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2A30"/>
    <w:rsid w:val="00C82C71"/>
    <w:rsid w:val="00C82E5F"/>
    <w:rsid w:val="00C83234"/>
    <w:rsid w:val="00C8338A"/>
    <w:rsid w:val="00C84103"/>
    <w:rsid w:val="00C8567F"/>
    <w:rsid w:val="00C8572A"/>
    <w:rsid w:val="00C85BCA"/>
    <w:rsid w:val="00C8650D"/>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A6E"/>
    <w:rsid w:val="00C97AF1"/>
    <w:rsid w:val="00CA04E7"/>
    <w:rsid w:val="00CA077D"/>
    <w:rsid w:val="00CA09AA"/>
    <w:rsid w:val="00CA0BA6"/>
    <w:rsid w:val="00CA0CF9"/>
    <w:rsid w:val="00CA237B"/>
    <w:rsid w:val="00CA284C"/>
    <w:rsid w:val="00CA2919"/>
    <w:rsid w:val="00CA2C56"/>
    <w:rsid w:val="00CA3315"/>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78A"/>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38D"/>
    <w:rsid w:val="00CF557C"/>
    <w:rsid w:val="00CF6AF3"/>
    <w:rsid w:val="00CF75C7"/>
    <w:rsid w:val="00CF76CB"/>
    <w:rsid w:val="00D014A9"/>
    <w:rsid w:val="00D017EE"/>
    <w:rsid w:val="00D020D5"/>
    <w:rsid w:val="00D02369"/>
    <w:rsid w:val="00D02621"/>
    <w:rsid w:val="00D02AC8"/>
    <w:rsid w:val="00D02C36"/>
    <w:rsid w:val="00D03684"/>
    <w:rsid w:val="00D038A2"/>
    <w:rsid w:val="00D03FC3"/>
    <w:rsid w:val="00D04FC8"/>
    <w:rsid w:val="00D05BC3"/>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BDB"/>
    <w:rsid w:val="00D13880"/>
    <w:rsid w:val="00D14204"/>
    <w:rsid w:val="00D14F37"/>
    <w:rsid w:val="00D1624D"/>
    <w:rsid w:val="00D164BF"/>
    <w:rsid w:val="00D16A3F"/>
    <w:rsid w:val="00D20083"/>
    <w:rsid w:val="00D20E2C"/>
    <w:rsid w:val="00D217CE"/>
    <w:rsid w:val="00D22050"/>
    <w:rsid w:val="00D22D38"/>
    <w:rsid w:val="00D22EE4"/>
    <w:rsid w:val="00D231AF"/>
    <w:rsid w:val="00D23556"/>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1284"/>
    <w:rsid w:val="00D422E4"/>
    <w:rsid w:val="00D423C9"/>
    <w:rsid w:val="00D429B7"/>
    <w:rsid w:val="00D42F95"/>
    <w:rsid w:val="00D4357E"/>
    <w:rsid w:val="00D44A5C"/>
    <w:rsid w:val="00D44B18"/>
    <w:rsid w:val="00D45E78"/>
    <w:rsid w:val="00D4611C"/>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669"/>
    <w:rsid w:val="00D60908"/>
    <w:rsid w:val="00D60932"/>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635"/>
    <w:rsid w:val="00D74977"/>
    <w:rsid w:val="00D75843"/>
    <w:rsid w:val="00D75999"/>
    <w:rsid w:val="00D76E83"/>
    <w:rsid w:val="00D8036A"/>
    <w:rsid w:val="00D81307"/>
    <w:rsid w:val="00D820F3"/>
    <w:rsid w:val="00D822CA"/>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946"/>
    <w:rsid w:val="00D93FFD"/>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7074"/>
    <w:rsid w:val="00DA727D"/>
    <w:rsid w:val="00DA773F"/>
    <w:rsid w:val="00DA7BC7"/>
    <w:rsid w:val="00DB0564"/>
    <w:rsid w:val="00DB1539"/>
    <w:rsid w:val="00DB2014"/>
    <w:rsid w:val="00DB21E6"/>
    <w:rsid w:val="00DB220E"/>
    <w:rsid w:val="00DB2369"/>
    <w:rsid w:val="00DB2559"/>
    <w:rsid w:val="00DB272C"/>
    <w:rsid w:val="00DB35C7"/>
    <w:rsid w:val="00DB39DE"/>
    <w:rsid w:val="00DB405C"/>
    <w:rsid w:val="00DB4322"/>
    <w:rsid w:val="00DB4699"/>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4A29"/>
    <w:rsid w:val="00DC4B4C"/>
    <w:rsid w:val="00DC4E8D"/>
    <w:rsid w:val="00DC54B4"/>
    <w:rsid w:val="00DC5A5E"/>
    <w:rsid w:val="00DC60E1"/>
    <w:rsid w:val="00DC6A94"/>
    <w:rsid w:val="00DC76BA"/>
    <w:rsid w:val="00DD132F"/>
    <w:rsid w:val="00DD1521"/>
    <w:rsid w:val="00DD1C2F"/>
    <w:rsid w:val="00DD1ED7"/>
    <w:rsid w:val="00DD242B"/>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E6DAE"/>
    <w:rsid w:val="00DE7524"/>
    <w:rsid w:val="00DF02EC"/>
    <w:rsid w:val="00DF098C"/>
    <w:rsid w:val="00DF1249"/>
    <w:rsid w:val="00DF24B9"/>
    <w:rsid w:val="00DF28A0"/>
    <w:rsid w:val="00DF2DA0"/>
    <w:rsid w:val="00DF32AF"/>
    <w:rsid w:val="00DF3E4D"/>
    <w:rsid w:val="00DF42F3"/>
    <w:rsid w:val="00DF46CF"/>
    <w:rsid w:val="00DF4D70"/>
    <w:rsid w:val="00DF4F19"/>
    <w:rsid w:val="00DF5270"/>
    <w:rsid w:val="00DF5374"/>
    <w:rsid w:val="00DF5D97"/>
    <w:rsid w:val="00DF621B"/>
    <w:rsid w:val="00DF6B34"/>
    <w:rsid w:val="00DF6B69"/>
    <w:rsid w:val="00E00C18"/>
    <w:rsid w:val="00E012D8"/>
    <w:rsid w:val="00E0160D"/>
    <w:rsid w:val="00E0175D"/>
    <w:rsid w:val="00E01843"/>
    <w:rsid w:val="00E028E6"/>
    <w:rsid w:val="00E0293F"/>
    <w:rsid w:val="00E02DBD"/>
    <w:rsid w:val="00E03941"/>
    <w:rsid w:val="00E046C1"/>
    <w:rsid w:val="00E049FD"/>
    <w:rsid w:val="00E04B41"/>
    <w:rsid w:val="00E05038"/>
    <w:rsid w:val="00E05375"/>
    <w:rsid w:val="00E054B7"/>
    <w:rsid w:val="00E05A22"/>
    <w:rsid w:val="00E05AC5"/>
    <w:rsid w:val="00E06AF4"/>
    <w:rsid w:val="00E07DFF"/>
    <w:rsid w:val="00E07E45"/>
    <w:rsid w:val="00E10043"/>
    <w:rsid w:val="00E1039A"/>
    <w:rsid w:val="00E119CF"/>
    <w:rsid w:val="00E1296E"/>
    <w:rsid w:val="00E12B11"/>
    <w:rsid w:val="00E12C4F"/>
    <w:rsid w:val="00E131BE"/>
    <w:rsid w:val="00E134BC"/>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A2D"/>
    <w:rsid w:val="00E22EE3"/>
    <w:rsid w:val="00E23416"/>
    <w:rsid w:val="00E2391F"/>
    <w:rsid w:val="00E242E6"/>
    <w:rsid w:val="00E24E3D"/>
    <w:rsid w:val="00E250DB"/>
    <w:rsid w:val="00E2596F"/>
    <w:rsid w:val="00E263E4"/>
    <w:rsid w:val="00E271F0"/>
    <w:rsid w:val="00E30155"/>
    <w:rsid w:val="00E3069F"/>
    <w:rsid w:val="00E306A2"/>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7BF"/>
    <w:rsid w:val="00E379BC"/>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471"/>
    <w:rsid w:val="00E52F76"/>
    <w:rsid w:val="00E5413F"/>
    <w:rsid w:val="00E541D0"/>
    <w:rsid w:val="00E543CA"/>
    <w:rsid w:val="00E54EC5"/>
    <w:rsid w:val="00E55335"/>
    <w:rsid w:val="00E55D2A"/>
    <w:rsid w:val="00E57FA4"/>
    <w:rsid w:val="00E60ADA"/>
    <w:rsid w:val="00E61C29"/>
    <w:rsid w:val="00E624D8"/>
    <w:rsid w:val="00E63DB3"/>
    <w:rsid w:val="00E63F2E"/>
    <w:rsid w:val="00E645DC"/>
    <w:rsid w:val="00E649A5"/>
    <w:rsid w:val="00E6523D"/>
    <w:rsid w:val="00E65967"/>
    <w:rsid w:val="00E65EF0"/>
    <w:rsid w:val="00E668E2"/>
    <w:rsid w:val="00E6767F"/>
    <w:rsid w:val="00E67F22"/>
    <w:rsid w:val="00E705E5"/>
    <w:rsid w:val="00E70B0C"/>
    <w:rsid w:val="00E713AC"/>
    <w:rsid w:val="00E71EFF"/>
    <w:rsid w:val="00E72246"/>
    <w:rsid w:val="00E722AC"/>
    <w:rsid w:val="00E723D3"/>
    <w:rsid w:val="00E725B6"/>
    <w:rsid w:val="00E7370D"/>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20F1"/>
    <w:rsid w:val="00EA2730"/>
    <w:rsid w:val="00EA42BA"/>
    <w:rsid w:val="00EA4F96"/>
    <w:rsid w:val="00EA531A"/>
    <w:rsid w:val="00EA589B"/>
    <w:rsid w:val="00EA7499"/>
    <w:rsid w:val="00EA74E3"/>
    <w:rsid w:val="00EA7744"/>
    <w:rsid w:val="00EB178A"/>
    <w:rsid w:val="00EB2435"/>
    <w:rsid w:val="00EB3027"/>
    <w:rsid w:val="00EB306C"/>
    <w:rsid w:val="00EB313A"/>
    <w:rsid w:val="00EB3495"/>
    <w:rsid w:val="00EB534C"/>
    <w:rsid w:val="00EB5E7D"/>
    <w:rsid w:val="00EB688D"/>
    <w:rsid w:val="00EB7124"/>
    <w:rsid w:val="00EB74DD"/>
    <w:rsid w:val="00EB7E4D"/>
    <w:rsid w:val="00EC0B57"/>
    <w:rsid w:val="00EC12C0"/>
    <w:rsid w:val="00EC142C"/>
    <w:rsid w:val="00EC16D0"/>
    <w:rsid w:val="00EC2B11"/>
    <w:rsid w:val="00EC2FEB"/>
    <w:rsid w:val="00EC30C9"/>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1C74"/>
    <w:rsid w:val="00F023A1"/>
    <w:rsid w:val="00F0301D"/>
    <w:rsid w:val="00F03891"/>
    <w:rsid w:val="00F046B1"/>
    <w:rsid w:val="00F04932"/>
    <w:rsid w:val="00F04CF6"/>
    <w:rsid w:val="00F04ED5"/>
    <w:rsid w:val="00F05BA0"/>
    <w:rsid w:val="00F05EED"/>
    <w:rsid w:val="00F062B0"/>
    <w:rsid w:val="00F06F02"/>
    <w:rsid w:val="00F077C0"/>
    <w:rsid w:val="00F0783A"/>
    <w:rsid w:val="00F07C4E"/>
    <w:rsid w:val="00F11C49"/>
    <w:rsid w:val="00F14351"/>
    <w:rsid w:val="00F154C5"/>
    <w:rsid w:val="00F15744"/>
    <w:rsid w:val="00F15A4F"/>
    <w:rsid w:val="00F165FE"/>
    <w:rsid w:val="00F16BB1"/>
    <w:rsid w:val="00F20046"/>
    <w:rsid w:val="00F206FE"/>
    <w:rsid w:val="00F209E0"/>
    <w:rsid w:val="00F20EE3"/>
    <w:rsid w:val="00F21048"/>
    <w:rsid w:val="00F2112D"/>
    <w:rsid w:val="00F21654"/>
    <w:rsid w:val="00F218EF"/>
    <w:rsid w:val="00F21B93"/>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7A8"/>
    <w:rsid w:val="00F2795E"/>
    <w:rsid w:val="00F27C52"/>
    <w:rsid w:val="00F3002F"/>
    <w:rsid w:val="00F301EB"/>
    <w:rsid w:val="00F304B5"/>
    <w:rsid w:val="00F30894"/>
    <w:rsid w:val="00F31234"/>
    <w:rsid w:val="00F3250F"/>
    <w:rsid w:val="00F328BD"/>
    <w:rsid w:val="00F33655"/>
    <w:rsid w:val="00F3383E"/>
    <w:rsid w:val="00F338BC"/>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AFE"/>
    <w:rsid w:val="00F47DF9"/>
    <w:rsid w:val="00F50020"/>
    <w:rsid w:val="00F50849"/>
    <w:rsid w:val="00F50F51"/>
    <w:rsid w:val="00F51318"/>
    <w:rsid w:val="00F51929"/>
    <w:rsid w:val="00F523A6"/>
    <w:rsid w:val="00F52631"/>
    <w:rsid w:val="00F52A4B"/>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61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366"/>
    <w:rsid w:val="00F915AB"/>
    <w:rsid w:val="00F918AE"/>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98B"/>
    <w:rsid w:val="00FE0C6B"/>
    <w:rsid w:val="00FE22FE"/>
    <w:rsid w:val="00FE23E2"/>
    <w:rsid w:val="00FE3DA5"/>
    <w:rsid w:val="00FE45AD"/>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A88"/>
    <w:rsid w:val="00FF30FE"/>
    <w:rsid w:val="00FF4FC8"/>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0B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450E02"/>
    <w:pPr>
      <w:numPr>
        <w:numId w:val="34"/>
      </w:numPr>
      <w:spacing w:after="120"/>
      <w:ind w:left="360"/>
    </w:pPr>
    <w:rPr>
      <w:lang w:val="en-GB"/>
    </w:rPr>
  </w:style>
  <w:style w:type="character" w:customStyle="1" w:styleId="bulletChar">
    <w:name w:val="bullet Char"/>
    <w:basedOn w:val="B10"/>
    <w:link w:val="bullet"/>
    <w:rsid w:val="00450E02"/>
    <w:rPr>
      <w:rFonts w:ascii="Times New Roman" w:hAnsi="Times New Roman"/>
      <w:lang w:val="en-GB" w:eastAsia="en-US"/>
    </w:rPr>
  </w:style>
  <w:style w:type="character" w:customStyle="1" w:styleId="ListParagraphChar">
    <w:name w:val="List Paragraph Char"/>
    <w:link w:val="ListParagraph"/>
    <w:uiPriority w:val="34"/>
    <w:rsid w:val="004A70E3"/>
    <w:rPr>
      <w:rFonts w:ascii="Times New Roman" w:eastAsia="Times New Roman" w:hAnsi="Times New Roman"/>
      <w:sz w:val="24"/>
      <w:szCs w:val="24"/>
      <w:lang w:eastAsia="en-US"/>
    </w:rPr>
  </w:style>
  <w:style w:type="character" w:customStyle="1" w:styleId="Heading2Char">
    <w:name w:val="Heading 2 Char"/>
    <w:basedOn w:val="DefaultParagraphFont"/>
    <w:link w:val="Heading2"/>
    <w:rsid w:val="002A0B89"/>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432942554">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HR33RHYHUWRF-4-2205</_dlc_DocId>
    <_dlc_DocIdUrl xmlns="c06861ca-3f08-4d07-bff7-bb15bac121f4">
      <Url>https://projects.qualcomm.com/sites/pentari/_layouts/15/DocIdRedir.aspx?ID=HR33RHYHUWRF-4-2205</Url>
      <Description>HR33RHYHUWRF-4-2205</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2.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4.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5.xml><?xml version="1.0" encoding="utf-8"?>
<ds:datastoreItem xmlns:ds="http://schemas.openxmlformats.org/officeDocument/2006/customXml" ds:itemID="{DD1AAB5B-385C-4CFC-BBB2-B7B4BBA61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8A09496-029F-4E6B-8D71-89F18C528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2537</TotalTime>
  <Pages>4</Pages>
  <Words>1273</Words>
  <Characters>7258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8514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Jiang, Jing</cp:lastModifiedBy>
  <cp:revision>83</cp:revision>
  <cp:lastPrinted>2010-10-04T23:31:00Z</cp:lastPrinted>
  <dcterms:created xsi:type="dcterms:W3CDTF">2016-08-10T22:12:00Z</dcterms:created>
  <dcterms:modified xsi:type="dcterms:W3CDTF">2017-03-25T06:02:00Z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ab2988b3-40a8-4482-825f-f333eace8225</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ies>
</file>